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spacing w:before="120" w:after="120" w:line="240" w:lineRule="auto"/>
        <w:jc w:val="center"/>
        <w:rPr>
          <w:rFonts w:asciiTheme="minorHAnsi" w:hAnsiTheme="minorHAnsi" w:cstheme="minorHAnsi"/>
          <w:b/>
          <w:sz w:val="32"/>
          <w:szCs w:val="32"/>
        </w:rPr>
      </w:pPr>
      <w:r>
        <w:rPr>
          <w:rFonts w:asciiTheme="minorHAnsi" w:hAnsiTheme="minorHAnsi" w:cstheme="minorHAnsi"/>
          <w:b/>
          <w:sz w:val="32"/>
          <w:szCs w:val="32"/>
        </w:rPr>
        <w:t>Besondere Vergabebedingungen</w:t>
      </w:r>
    </w:p>
    <w:p>
      <w:pPr>
        <w:spacing w:before="120" w:after="120" w:line="240" w:lineRule="auto"/>
        <w:jc w:val="center"/>
        <w:rPr>
          <w:rFonts w:asciiTheme="minorHAnsi" w:hAnsiTheme="minorHAnsi" w:cstheme="minorHAnsi"/>
          <w:b/>
          <w:sz w:val="32"/>
          <w:szCs w:val="32"/>
        </w:rPr>
      </w:pPr>
    </w:p>
    <w:p>
      <w:pPr>
        <w:pStyle w:val="berschrift1"/>
        <w:tabs>
          <w:tab w:val="clear" w:pos="567"/>
        </w:tabs>
        <w:spacing w:line="240" w:lineRule="auto"/>
        <w:ind w:left="426" w:hanging="426"/>
        <w:jc w:val="both"/>
        <w:rPr>
          <w:rFonts w:asciiTheme="minorHAnsi" w:hAnsiTheme="minorHAnsi" w:cstheme="minorHAnsi"/>
          <w:sz w:val="24"/>
        </w:rPr>
      </w:pPr>
      <w:r>
        <w:rPr>
          <w:rFonts w:asciiTheme="minorHAnsi" w:hAnsiTheme="minorHAnsi" w:cstheme="minorHAnsi"/>
          <w:sz w:val="24"/>
        </w:rPr>
        <w:t>Eignungskriterien</w:t>
      </w:r>
    </w:p>
    <w:p>
      <w:pPr>
        <w:tabs>
          <w:tab w:val="left" w:pos="360"/>
        </w:tabs>
        <w:spacing w:line="240" w:lineRule="auto"/>
        <w:jc w:val="both"/>
        <w:rPr>
          <w:rFonts w:asciiTheme="minorHAnsi" w:hAnsiTheme="minorHAnsi" w:cstheme="minorHAnsi"/>
          <w:sz w:val="24"/>
        </w:rPr>
      </w:pPr>
      <w:r>
        <w:rPr>
          <w:rFonts w:asciiTheme="minorHAnsi" w:hAnsiTheme="minorHAnsi" w:cstheme="minorHAnsi"/>
          <w:sz w:val="24"/>
        </w:rPr>
        <w:t xml:space="preserve">Öffentliche Aufträge werden an fachkundige und leistungsfähige (geeignete) Unternehmen vergeben, die nicht nach den §§ 123 oder 124 GWB auszuschließen sind. Ein Unternehmen ist geeignet, wenn es die durch den öffentlichen Auftraggeber im Einzelnen zur ordnungsgemäßen Ausführung des öffentlichen Auftrags festgelegten Kriterien (Eignungskriterien) erfüllt. </w:t>
      </w:r>
    </w:p>
    <w:p>
      <w:pPr>
        <w:tabs>
          <w:tab w:val="left" w:pos="360"/>
        </w:tabs>
        <w:spacing w:line="240" w:lineRule="auto"/>
        <w:jc w:val="both"/>
        <w:rPr>
          <w:rFonts w:asciiTheme="minorHAnsi" w:hAnsiTheme="minorHAnsi" w:cstheme="minorHAnsi"/>
          <w:sz w:val="24"/>
        </w:rPr>
      </w:pPr>
    </w:p>
    <w:p>
      <w:pPr>
        <w:spacing w:line="240" w:lineRule="auto"/>
        <w:jc w:val="both"/>
        <w:rPr>
          <w:rFonts w:asciiTheme="minorHAnsi" w:hAnsiTheme="minorHAnsi" w:cstheme="minorHAnsi"/>
          <w:sz w:val="24"/>
        </w:rPr>
      </w:pPr>
      <w:r>
        <w:rPr>
          <w:rFonts w:asciiTheme="minorHAnsi" w:hAnsiTheme="minorHAnsi" w:cstheme="minorHAnsi"/>
          <w:sz w:val="24"/>
        </w:rPr>
        <w:t>Nachfolgende Kriterien werden für die Eignungsprüfung herangezogen. Die Angaben durch Eigenerklärungen sind ausreichend. Der Auftraggeber behält sich vor in begründeten Fällen entsprechende Nachweise zu verlangen.</w:t>
      </w:r>
    </w:p>
    <w:p>
      <w:pPr>
        <w:tabs>
          <w:tab w:val="left" w:pos="360"/>
        </w:tabs>
        <w:spacing w:line="240" w:lineRule="auto"/>
        <w:jc w:val="both"/>
        <w:rPr>
          <w:rFonts w:asciiTheme="minorHAnsi" w:hAnsiTheme="minorHAnsi" w:cstheme="minorHAnsi"/>
          <w:sz w:val="24"/>
        </w:rPr>
      </w:pPr>
    </w:p>
    <w:p>
      <w:pPr>
        <w:pStyle w:val="berschrift2"/>
        <w:tabs>
          <w:tab w:val="clear" w:pos="576"/>
        </w:tabs>
        <w:spacing w:before="0" w:line="240" w:lineRule="auto"/>
        <w:ind w:left="426" w:hanging="426"/>
        <w:jc w:val="both"/>
        <w:rPr>
          <w:rFonts w:asciiTheme="minorHAnsi" w:hAnsiTheme="minorHAnsi" w:cstheme="minorHAnsi"/>
          <w:sz w:val="24"/>
          <w:szCs w:val="24"/>
        </w:rPr>
      </w:pPr>
      <w:r>
        <w:rPr>
          <w:rFonts w:asciiTheme="minorHAnsi" w:hAnsiTheme="minorHAnsi" w:cstheme="minorHAnsi"/>
          <w:sz w:val="24"/>
          <w:szCs w:val="24"/>
        </w:rPr>
        <w:t>Befähigung und Erlaubnis zur Berufsausübung</w:t>
      </w:r>
    </w:p>
    <w:p>
      <w:pPr>
        <w:spacing w:line="240" w:lineRule="auto"/>
        <w:jc w:val="both"/>
        <w:rPr>
          <w:rFonts w:asciiTheme="minorHAnsi" w:hAnsiTheme="minorHAnsi" w:cstheme="minorHAnsi"/>
          <w:sz w:val="24"/>
        </w:rPr>
      </w:pPr>
      <w:r>
        <w:rPr>
          <w:rFonts w:asciiTheme="minorHAnsi" w:hAnsiTheme="minorHAnsi" w:cstheme="minorHAnsi"/>
          <w:sz w:val="24"/>
        </w:rPr>
        <w:t>Gegenstand ist die Eignung für die Ausübung des Berufs. Nur Bieter, die nach dem geltenden Recht berechtigt sind, die Leistungen zu erbringen, sind geeignet. Beispielsweise ist die Auskunft über die Eintragung in einem einschlägigen Berufs- oder Handelsregister/ Handwerksrolle möglich.</w:t>
      </w:r>
    </w:p>
    <w:p>
      <w:pPr>
        <w:pStyle w:val="berschrift2"/>
        <w:tabs>
          <w:tab w:val="clear" w:pos="576"/>
        </w:tabs>
        <w:spacing w:line="240" w:lineRule="auto"/>
        <w:ind w:left="426" w:hanging="426"/>
        <w:jc w:val="both"/>
        <w:rPr>
          <w:rFonts w:asciiTheme="minorHAnsi" w:hAnsiTheme="minorHAnsi" w:cstheme="minorHAnsi"/>
          <w:sz w:val="24"/>
          <w:szCs w:val="24"/>
        </w:rPr>
      </w:pPr>
      <w:r>
        <w:rPr>
          <w:rFonts w:asciiTheme="minorHAnsi" w:hAnsiTheme="minorHAnsi" w:cstheme="minorHAnsi"/>
          <w:sz w:val="24"/>
          <w:szCs w:val="24"/>
        </w:rPr>
        <w:t>wirtschaftliche und finanzielle Leistungsfähigkeit</w:t>
      </w:r>
    </w:p>
    <w:p>
      <w:pPr>
        <w:spacing w:line="240" w:lineRule="auto"/>
        <w:jc w:val="both"/>
        <w:rPr>
          <w:rFonts w:asciiTheme="minorHAnsi" w:hAnsiTheme="minorHAnsi" w:cstheme="minorHAnsi"/>
          <w:sz w:val="24"/>
        </w:rPr>
      </w:pPr>
      <w:r>
        <w:rPr>
          <w:rFonts w:asciiTheme="minorHAnsi" w:hAnsiTheme="minorHAnsi" w:cstheme="minorHAnsi"/>
          <w:sz w:val="24"/>
        </w:rPr>
        <w:t xml:space="preserve">Das Kriterium umfasst die Sicherstellung, dass der Auftragnehmer über die erforderlichen wirtschaftlichen und finanziellen Kapazitäten zur ordnungsgemäßen Auftragserfüllung verfügt. Auskünfte über die Unternehmensstruktur und das Vorhandensein einer Berufshaftpflichtversicherung sowie Referenzen des Unternehmens </w:t>
      </w:r>
      <w:r>
        <w:rPr>
          <w:rFonts w:asciiTheme="minorHAnsi" w:hAnsiTheme="minorHAnsi" w:cstheme="minorHAnsi"/>
          <w:sz w:val="24"/>
        </w:rPr>
        <w:t>(mindestens drei aus den zurückliegenden drei Jahren)</w:t>
      </w:r>
      <w:r>
        <w:rPr>
          <w:rFonts w:asciiTheme="minorHAnsi" w:hAnsiTheme="minorHAnsi" w:cstheme="minorHAnsi"/>
          <w:sz w:val="24"/>
        </w:rPr>
        <w:t xml:space="preserve"> dienen der Beurteilung. </w:t>
      </w:r>
    </w:p>
    <w:p>
      <w:pPr>
        <w:pStyle w:val="berschrift2"/>
        <w:tabs>
          <w:tab w:val="clear" w:pos="576"/>
        </w:tabs>
        <w:spacing w:line="240" w:lineRule="auto"/>
        <w:ind w:left="426" w:hanging="426"/>
        <w:jc w:val="both"/>
        <w:rPr>
          <w:rFonts w:asciiTheme="minorHAnsi" w:hAnsiTheme="minorHAnsi" w:cstheme="minorHAnsi"/>
          <w:sz w:val="24"/>
          <w:szCs w:val="24"/>
        </w:rPr>
      </w:pPr>
      <w:r>
        <w:rPr>
          <w:rFonts w:asciiTheme="minorHAnsi" w:hAnsiTheme="minorHAnsi" w:cstheme="minorHAnsi"/>
          <w:sz w:val="24"/>
          <w:szCs w:val="24"/>
        </w:rPr>
        <w:t>technische und berufliche Leistungsfähigkeit</w:t>
      </w:r>
    </w:p>
    <w:p>
      <w:pPr>
        <w:spacing w:after="240" w:line="240" w:lineRule="auto"/>
        <w:jc w:val="both"/>
        <w:rPr>
          <w:rFonts w:asciiTheme="minorHAnsi" w:hAnsiTheme="minorHAnsi" w:cstheme="minorHAnsi"/>
          <w:sz w:val="24"/>
        </w:rPr>
      </w:pPr>
      <w:r>
        <w:rPr>
          <w:rFonts w:asciiTheme="minorHAnsi" w:hAnsiTheme="minorHAnsi" w:cstheme="minorHAnsi"/>
          <w:sz w:val="24"/>
        </w:rPr>
        <w:t xml:space="preserve">Die technische Leistungsfähigkeit bestimmt sich danach, ob der Bewerber über die für die Erbringung der Leistung geforderten technischen Mittel und Ausstattungen verfügt. Die berufliche Leistungsfähigkeit soll gewährleisten, dass der Bieter in der Lage sein wird, die aus dem Zuschlag erwachsenden Verpflichtungen in personeller Hinsicht zu erfüllen. Entsprechende Eigenerklärungen durch Darstellung der technischen Gegebenheiten des Unternehmens sowie der Qualifikation und Referenzen des eingesetzten Personals sind abzugeben. </w:t>
      </w:r>
    </w:p>
    <w:p>
      <w:pPr>
        <w:pStyle w:val="berschrift1"/>
        <w:tabs>
          <w:tab w:val="clear" w:pos="567"/>
        </w:tabs>
        <w:spacing w:before="0" w:line="240" w:lineRule="auto"/>
        <w:ind w:left="426" w:hanging="426"/>
        <w:jc w:val="both"/>
        <w:rPr>
          <w:rFonts w:asciiTheme="minorHAnsi" w:hAnsiTheme="minorHAnsi" w:cstheme="minorHAnsi"/>
          <w:sz w:val="24"/>
        </w:rPr>
      </w:pPr>
      <w:r>
        <w:rPr>
          <w:rFonts w:asciiTheme="minorHAnsi" w:hAnsiTheme="minorHAnsi" w:cstheme="minorHAnsi"/>
          <w:sz w:val="24"/>
        </w:rPr>
        <w:t>Zuschlagskriterien</w:t>
      </w:r>
    </w:p>
    <w:p>
      <w:pPr>
        <w:spacing w:line="240" w:lineRule="auto"/>
        <w:jc w:val="both"/>
        <w:rPr>
          <w:rFonts w:asciiTheme="minorHAnsi" w:hAnsiTheme="minorHAnsi" w:cstheme="minorHAnsi"/>
          <w:sz w:val="24"/>
        </w:rPr>
      </w:pPr>
      <w:r>
        <w:rPr>
          <w:rFonts w:asciiTheme="minorHAnsi" w:hAnsiTheme="minorHAnsi" w:cstheme="minorHAnsi"/>
          <w:sz w:val="24"/>
        </w:rPr>
        <w:t xml:space="preserve">Der Zuschlag wird je Los auf das wirtschaftlichste Angebot erteilt (Preis-Leistungsverhältnis). Zu dessen Ermittlung werden neben dem Preis ebenfalls die Qualität des Angebots sowie umweltbezogene Kriterien berücksichtigt. Folgende Gewichtung der Kriterien wird bei der Wertung der eingehenden Angebote zu Grunde gelegt: </w:t>
      </w:r>
    </w:p>
    <w:p>
      <w:pPr>
        <w:spacing w:line="240" w:lineRule="auto"/>
        <w:jc w:val="both"/>
        <w:rPr>
          <w:rFonts w:asciiTheme="minorHAnsi" w:hAnsiTheme="minorHAnsi" w:cstheme="minorHAnsi"/>
          <w:sz w:val="24"/>
        </w:rPr>
      </w:pPr>
    </w:p>
    <w:p>
      <w:pPr>
        <w:spacing w:line="240" w:lineRule="auto"/>
        <w:jc w:val="both"/>
        <w:rPr>
          <w:rFonts w:asciiTheme="minorHAnsi" w:hAnsiTheme="minorHAnsi" w:cstheme="minorHAnsi"/>
          <w:sz w:val="24"/>
        </w:rPr>
      </w:pPr>
    </w:p>
    <w:p>
      <w:pPr>
        <w:spacing w:line="240" w:lineRule="auto"/>
        <w:jc w:val="both"/>
        <w:rPr>
          <w:rFonts w:asciiTheme="minorHAnsi" w:hAnsiTheme="minorHAnsi" w:cstheme="minorHAnsi"/>
          <w:sz w:val="24"/>
        </w:rPr>
        <w:sectPr>
          <w:footerReference w:type="even" r:id="rId8"/>
          <w:headerReference w:type="first" r:id="rId9"/>
          <w:pgSz w:w="11906" w:h="16838"/>
          <w:pgMar w:top="1134" w:right="1418" w:bottom="709" w:left="1418" w:header="454" w:footer="454" w:gutter="0"/>
          <w:cols w:space="708"/>
          <w:titlePg/>
          <w:docGrid w:linePitch="360"/>
        </w:sectPr>
      </w:pPr>
    </w:p>
    <w:p>
      <w:pPr>
        <w:spacing w:after="200" w:line="276" w:lineRule="auto"/>
        <w:rPr>
          <w:rFonts w:asciiTheme="minorHAnsi" w:hAnsiTheme="minorHAnsi" w:cstheme="minorHAnsi"/>
          <w:vanish/>
          <w:sz w:val="24"/>
        </w:rPr>
      </w:pPr>
    </w:p>
    <w:tbl>
      <w:tblPr>
        <w:tblW w:w="9062" w:type="dxa"/>
        <w:tblCellMar>
          <w:left w:w="70" w:type="dxa"/>
          <w:right w:w="70" w:type="dxa"/>
        </w:tblCellMar>
        <w:tblLook w:val="04A0" w:firstRow="1" w:lastRow="0" w:firstColumn="1" w:lastColumn="0" w:noHBand="0" w:noVBand="1"/>
      </w:tblPr>
      <w:tblGrid>
        <w:gridCol w:w="1266"/>
        <w:gridCol w:w="1985"/>
        <w:gridCol w:w="3260"/>
        <w:gridCol w:w="992"/>
        <w:gridCol w:w="1559"/>
      </w:tblGrid>
      <w:tr>
        <w:trPr>
          <w:trHeight w:val="588"/>
        </w:trPr>
        <w:tc>
          <w:tcPr>
            <w:tcW w:w="1266" w:type="dxa"/>
            <w:tcBorders>
              <w:top w:val="single" w:sz="8" w:space="0" w:color="auto"/>
              <w:left w:val="single" w:sz="8" w:space="0" w:color="auto"/>
              <w:bottom w:val="nil"/>
              <w:right w:val="single" w:sz="4" w:space="0" w:color="000000"/>
            </w:tcBorders>
            <w:shd w:val="clear" w:color="auto" w:fill="auto"/>
            <w:noWrap/>
            <w:vAlign w:val="center"/>
            <w:hideMark/>
          </w:tcPr>
          <w:p>
            <w:pPr>
              <w:spacing w:line="240" w:lineRule="auto"/>
              <w:rPr>
                <w:rFonts w:ascii="Calibri" w:hAnsi="Calibri" w:cs="Calibri"/>
                <w:b/>
                <w:bCs/>
                <w:color w:val="000000"/>
                <w:szCs w:val="22"/>
              </w:rPr>
            </w:pPr>
            <w:r>
              <w:rPr>
                <w:rFonts w:ascii="Calibri" w:hAnsi="Calibri" w:cs="Calibri"/>
                <w:b/>
                <w:bCs/>
                <w:color w:val="000000"/>
                <w:szCs w:val="22"/>
              </w:rPr>
              <w:t>Kriterium</w:t>
            </w:r>
          </w:p>
        </w:tc>
        <w:tc>
          <w:tcPr>
            <w:tcW w:w="1985" w:type="dxa"/>
            <w:tcBorders>
              <w:top w:val="single" w:sz="8" w:space="0" w:color="auto"/>
              <w:left w:val="nil"/>
              <w:bottom w:val="nil"/>
              <w:right w:val="single" w:sz="4" w:space="0" w:color="000000"/>
            </w:tcBorders>
            <w:shd w:val="clear" w:color="auto" w:fill="auto"/>
            <w:noWrap/>
            <w:vAlign w:val="center"/>
            <w:hideMark/>
          </w:tcPr>
          <w:p>
            <w:pPr>
              <w:spacing w:line="240" w:lineRule="auto"/>
              <w:rPr>
                <w:rFonts w:ascii="Calibri" w:hAnsi="Calibri" w:cs="Calibri"/>
                <w:b/>
                <w:bCs/>
                <w:color w:val="000000"/>
                <w:szCs w:val="22"/>
              </w:rPr>
            </w:pPr>
            <w:r>
              <w:rPr>
                <w:rFonts w:ascii="Calibri" w:hAnsi="Calibri" w:cs="Calibri"/>
                <w:b/>
                <w:bCs/>
                <w:color w:val="000000"/>
                <w:szCs w:val="22"/>
              </w:rPr>
              <w:t>Unterkriterium</w:t>
            </w:r>
          </w:p>
        </w:tc>
        <w:tc>
          <w:tcPr>
            <w:tcW w:w="3260" w:type="dxa"/>
            <w:tcBorders>
              <w:top w:val="single" w:sz="8" w:space="0" w:color="auto"/>
              <w:left w:val="nil"/>
              <w:bottom w:val="nil"/>
              <w:right w:val="single" w:sz="4" w:space="0" w:color="000000"/>
            </w:tcBorders>
            <w:shd w:val="clear" w:color="auto" w:fill="auto"/>
            <w:vAlign w:val="center"/>
            <w:hideMark/>
          </w:tcPr>
          <w:p>
            <w:pPr>
              <w:spacing w:line="240" w:lineRule="auto"/>
              <w:rPr>
                <w:rFonts w:ascii="Calibri" w:hAnsi="Calibri" w:cs="Calibri"/>
                <w:b/>
                <w:bCs/>
                <w:color w:val="000000"/>
                <w:szCs w:val="22"/>
              </w:rPr>
            </w:pPr>
            <w:r>
              <w:rPr>
                <w:rFonts w:ascii="Calibri" w:hAnsi="Calibri" w:cs="Calibri"/>
                <w:b/>
                <w:bCs/>
                <w:color w:val="000000"/>
                <w:szCs w:val="22"/>
              </w:rPr>
              <w:t xml:space="preserve">Erfüllungsgrade in </w:t>
            </w:r>
          </w:p>
          <w:p>
            <w:pPr>
              <w:spacing w:line="240" w:lineRule="auto"/>
              <w:rPr>
                <w:rFonts w:ascii="Calibri" w:hAnsi="Calibri" w:cs="Calibri"/>
                <w:b/>
                <w:bCs/>
                <w:color w:val="000000"/>
                <w:szCs w:val="22"/>
              </w:rPr>
            </w:pPr>
            <w:proofErr w:type="spellStart"/>
            <w:r>
              <w:rPr>
                <w:rFonts w:ascii="Calibri" w:hAnsi="Calibri" w:cs="Calibri"/>
                <w:b/>
                <w:bCs/>
                <w:color w:val="000000"/>
                <w:szCs w:val="22"/>
              </w:rPr>
              <w:t>Scoringpunkten</w:t>
            </w:r>
            <w:proofErr w:type="spellEnd"/>
          </w:p>
        </w:tc>
        <w:tc>
          <w:tcPr>
            <w:tcW w:w="992" w:type="dxa"/>
            <w:tcBorders>
              <w:top w:val="single" w:sz="8" w:space="0" w:color="auto"/>
              <w:left w:val="nil"/>
              <w:bottom w:val="nil"/>
              <w:right w:val="single" w:sz="4" w:space="0" w:color="000000"/>
            </w:tcBorders>
            <w:shd w:val="clear" w:color="auto" w:fill="auto"/>
            <w:noWrap/>
            <w:vAlign w:val="center"/>
            <w:hideMark/>
          </w:tcPr>
          <w:p>
            <w:pPr>
              <w:spacing w:line="240" w:lineRule="auto"/>
              <w:rPr>
                <w:rFonts w:ascii="Calibri" w:hAnsi="Calibri" w:cs="Calibri"/>
                <w:b/>
                <w:bCs/>
                <w:color w:val="000000"/>
                <w:szCs w:val="22"/>
              </w:rPr>
            </w:pPr>
            <w:r>
              <w:rPr>
                <w:rFonts w:ascii="Calibri" w:hAnsi="Calibri" w:cs="Calibri"/>
                <w:b/>
                <w:bCs/>
                <w:color w:val="000000"/>
                <w:szCs w:val="22"/>
              </w:rPr>
              <w:t>Gewichtungskoeffizient</w:t>
            </w:r>
          </w:p>
        </w:tc>
        <w:tc>
          <w:tcPr>
            <w:tcW w:w="1559" w:type="dxa"/>
            <w:tcBorders>
              <w:top w:val="single" w:sz="8" w:space="0" w:color="auto"/>
              <w:left w:val="nil"/>
              <w:bottom w:val="nil"/>
              <w:right w:val="single" w:sz="4" w:space="0" w:color="000000"/>
            </w:tcBorders>
            <w:shd w:val="clear" w:color="auto" w:fill="auto"/>
            <w:noWrap/>
            <w:vAlign w:val="center"/>
            <w:hideMark/>
          </w:tcPr>
          <w:p>
            <w:pPr>
              <w:spacing w:line="240" w:lineRule="auto"/>
              <w:rPr>
                <w:rFonts w:ascii="Calibri" w:hAnsi="Calibri" w:cs="Calibri"/>
                <w:b/>
                <w:bCs/>
                <w:color w:val="000000"/>
                <w:szCs w:val="22"/>
              </w:rPr>
            </w:pPr>
            <w:r>
              <w:rPr>
                <w:rFonts w:ascii="Calibri" w:hAnsi="Calibri" w:cs="Calibri"/>
                <w:b/>
                <w:bCs/>
                <w:color w:val="000000"/>
                <w:szCs w:val="22"/>
              </w:rPr>
              <w:t>(Teil-)Nutzwert</w:t>
            </w:r>
          </w:p>
        </w:tc>
      </w:tr>
      <w:tr>
        <w:trPr>
          <w:trHeight w:val="1440"/>
        </w:trPr>
        <w:tc>
          <w:tcPr>
            <w:tcW w:w="1266" w:type="dxa"/>
            <w:vMerge w:val="restart"/>
            <w:tcBorders>
              <w:top w:val="single" w:sz="8" w:space="0" w:color="auto"/>
              <w:left w:val="single" w:sz="8" w:space="0" w:color="auto"/>
              <w:right w:val="single" w:sz="4" w:space="0" w:color="000000"/>
            </w:tcBorders>
            <w:shd w:val="clear" w:color="auto" w:fill="auto"/>
            <w:noWrap/>
            <w:vAlign w:val="center"/>
            <w:hideMark/>
          </w:tcPr>
          <w:p>
            <w:pPr>
              <w:spacing w:line="240" w:lineRule="auto"/>
              <w:rPr>
                <w:rFonts w:ascii="Calibri" w:hAnsi="Calibri" w:cs="Calibri"/>
                <w:color w:val="000000"/>
                <w:szCs w:val="22"/>
              </w:rPr>
            </w:pPr>
            <w:r>
              <w:rPr>
                <w:rFonts w:ascii="Calibri" w:hAnsi="Calibri" w:cs="Calibri"/>
                <w:color w:val="000000"/>
                <w:szCs w:val="22"/>
              </w:rPr>
              <w:t>Qualität</w:t>
            </w:r>
          </w:p>
        </w:tc>
        <w:tc>
          <w:tcPr>
            <w:tcW w:w="1985" w:type="dxa"/>
            <w:tcBorders>
              <w:top w:val="single" w:sz="8" w:space="0" w:color="auto"/>
              <w:left w:val="nil"/>
              <w:bottom w:val="single" w:sz="4" w:space="0" w:color="000000"/>
              <w:right w:val="single" w:sz="4" w:space="0" w:color="000000"/>
            </w:tcBorders>
            <w:shd w:val="clear" w:color="auto" w:fill="auto"/>
            <w:vAlign w:val="center"/>
            <w:hideMark/>
          </w:tcPr>
          <w:p>
            <w:pPr>
              <w:spacing w:line="240" w:lineRule="auto"/>
              <w:rPr>
                <w:rFonts w:ascii="Calibri" w:hAnsi="Calibri" w:cs="Calibri"/>
                <w:color w:val="000000"/>
                <w:szCs w:val="22"/>
              </w:rPr>
            </w:pPr>
            <w:r>
              <w:rPr>
                <w:rFonts w:ascii="Calibri" w:hAnsi="Calibri" w:cs="Calibri"/>
                <w:color w:val="000000"/>
                <w:szCs w:val="22"/>
              </w:rPr>
              <w:t xml:space="preserve">Vollständigkeit, </w:t>
            </w:r>
          </w:p>
          <w:p>
            <w:pPr>
              <w:spacing w:line="240" w:lineRule="auto"/>
              <w:rPr>
                <w:rFonts w:ascii="Calibri" w:hAnsi="Calibri" w:cs="Calibri"/>
                <w:color w:val="000000"/>
                <w:szCs w:val="22"/>
              </w:rPr>
            </w:pPr>
            <w:r>
              <w:rPr>
                <w:rFonts w:ascii="Calibri" w:hAnsi="Calibri" w:cs="Calibri"/>
                <w:color w:val="000000"/>
                <w:szCs w:val="22"/>
              </w:rPr>
              <w:t>formelle Klarheit, Qualität, Kohärenz und Schlüssigkeit des Angebots</w:t>
            </w:r>
            <w:r>
              <w:rPr>
                <w:rFonts w:ascii="Calibri" w:hAnsi="Calibri" w:cs="Calibri"/>
                <w:color w:val="000000"/>
                <w:szCs w:val="22"/>
              </w:rPr>
              <w:br/>
              <w:t>(30 %)</w:t>
            </w:r>
          </w:p>
        </w:tc>
        <w:tc>
          <w:tcPr>
            <w:tcW w:w="3260" w:type="dxa"/>
            <w:tcBorders>
              <w:top w:val="single" w:sz="8" w:space="0" w:color="auto"/>
              <w:left w:val="nil"/>
              <w:bottom w:val="single" w:sz="4" w:space="0" w:color="000000"/>
              <w:right w:val="single" w:sz="4" w:space="0" w:color="000000"/>
            </w:tcBorders>
            <w:shd w:val="clear" w:color="auto" w:fill="auto"/>
            <w:vAlign w:val="center"/>
            <w:hideMark/>
          </w:tcPr>
          <w:p>
            <w:pPr>
              <w:spacing w:line="240" w:lineRule="auto"/>
              <w:rPr>
                <w:rFonts w:ascii="Calibri" w:hAnsi="Calibri" w:cs="Calibri"/>
                <w:color w:val="000000"/>
                <w:szCs w:val="22"/>
              </w:rPr>
            </w:pPr>
            <w:r>
              <w:rPr>
                <w:rFonts w:ascii="Calibri" w:hAnsi="Calibri" w:cs="Calibri"/>
                <w:color w:val="000000"/>
                <w:szCs w:val="22"/>
              </w:rPr>
              <w:t>0 = inkohärent, formell ungenau, unschlüssig, unvollständig</w:t>
            </w:r>
          </w:p>
          <w:p>
            <w:pPr>
              <w:spacing w:line="240" w:lineRule="auto"/>
              <w:rPr>
                <w:rFonts w:ascii="Calibri" w:hAnsi="Calibri" w:cs="Calibri"/>
                <w:color w:val="000000"/>
                <w:szCs w:val="22"/>
              </w:rPr>
            </w:pPr>
            <w:r>
              <w:rPr>
                <w:rFonts w:ascii="Calibri" w:hAnsi="Calibri" w:cs="Calibri"/>
                <w:color w:val="000000"/>
                <w:szCs w:val="22"/>
              </w:rPr>
              <w:t>1 = in Teilen inkohärent, ungenau, unschlüssig, unvollständig</w:t>
            </w:r>
            <w:r>
              <w:rPr>
                <w:rFonts w:ascii="Calibri" w:hAnsi="Calibri" w:cs="Calibri"/>
                <w:color w:val="000000"/>
                <w:szCs w:val="22"/>
              </w:rPr>
              <w:br/>
              <w:t>2 = in weiten Teilen klar und kohärent, überwiegend schlüssig, vollständig</w:t>
            </w:r>
          </w:p>
          <w:p>
            <w:pPr>
              <w:spacing w:line="240" w:lineRule="auto"/>
              <w:rPr>
                <w:rFonts w:ascii="Calibri" w:hAnsi="Calibri" w:cs="Calibri"/>
                <w:color w:val="000000"/>
                <w:szCs w:val="22"/>
              </w:rPr>
            </w:pPr>
            <w:r>
              <w:rPr>
                <w:rFonts w:ascii="Calibri" w:hAnsi="Calibri" w:cs="Calibri"/>
                <w:color w:val="000000"/>
                <w:szCs w:val="22"/>
              </w:rPr>
              <w:t>3 = in allen Teilen klar und kohärent, überwiegend schlüssig, vollständig</w:t>
            </w:r>
            <w:r>
              <w:rPr>
                <w:rFonts w:ascii="Calibri" w:hAnsi="Calibri" w:cs="Calibri"/>
                <w:color w:val="000000"/>
                <w:szCs w:val="22"/>
              </w:rPr>
              <w:br/>
              <w:t>4 = in allen Teilen sehr klar und kohärent sowie sehr strukturiert, klar, vollständig</w:t>
            </w:r>
          </w:p>
        </w:tc>
        <w:tc>
          <w:tcPr>
            <w:tcW w:w="992" w:type="dxa"/>
            <w:tcBorders>
              <w:top w:val="single" w:sz="8" w:space="0" w:color="auto"/>
              <w:left w:val="nil"/>
              <w:bottom w:val="single" w:sz="4" w:space="0" w:color="000000"/>
              <w:right w:val="single" w:sz="4" w:space="0" w:color="000000"/>
            </w:tcBorders>
            <w:shd w:val="clear" w:color="auto" w:fill="auto"/>
            <w:noWrap/>
            <w:vAlign w:val="center"/>
            <w:hideMark/>
          </w:tcPr>
          <w:p>
            <w:pPr>
              <w:spacing w:line="240" w:lineRule="auto"/>
              <w:rPr>
                <w:rFonts w:ascii="Calibri" w:hAnsi="Calibri" w:cs="Calibri"/>
                <w:color w:val="000000"/>
                <w:szCs w:val="22"/>
              </w:rPr>
            </w:pPr>
            <w:r>
              <w:rPr>
                <w:rFonts w:ascii="Calibri" w:hAnsi="Calibri" w:cs="Calibri"/>
                <w:color w:val="000000"/>
                <w:szCs w:val="22"/>
              </w:rPr>
              <w:t>300</w:t>
            </w:r>
          </w:p>
        </w:tc>
        <w:tc>
          <w:tcPr>
            <w:tcW w:w="1559" w:type="dxa"/>
            <w:tcBorders>
              <w:top w:val="single" w:sz="8" w:space="0" w:color="auto"/>
              <w:left w:val="nil"/>
              <w:bottom w:val="single" w:sz="4" w:space="0" w:color="000000"/>
              <w:right w:val="single" w:sz="4" w:space="0" w:color="000000"/>
            </w:tcBorders>
            <w:shd w:val="clear" w:color="auto" w:fill="auto"/>
            <w:vAlign w:val="center"/>
            <w:hideMark/>
          </w:tcPr>
          <w:p>
            <w:pPr>
              <w:spacing w:line="240" w:lineRule="auto"/>
              <w:rPr>
                <w:rFonts w:ascii="Calibri" w:hAnsi="Calibri" w:cs="Calibri"/>
                <w:color w:val="000000"/>
                <w:szCs w:val="22"/>
              </w:rPr>
            </w:pPr>
            <w:r>
              <w:rPr>
                <w:rFonts w:ascii="Calibri" w:hAnsi="Calibri" w:cs="Calibri"/>
                <w:color w:val="000000"/>
                <w:szCs w:val="22"/>
              </w:rPr>
              <w:t>min.: 0 * 300 = 0</w:t>
            </w:r>
            <w:r>
              <w:rPr>
                <w:rFonts w:ascii="Calibri" w:hAnsi="Calibri" w:cs="Calibri"/>
                <w:color w:val="000000"/>
                <w:szCs w:val="22"/>
              </w:rPr>
              <w:br/>
              <w:t>max.: 4 * 300 = 1200</w:t>
            </w:r>
          </w:p>
        </w:tc>
      </w:tr>
      <w:tr>
        <w:trPr>
          <w:trHeight w:val="1452"/>
        </w:trPr>
        <w:tc>
          <w:tcPr>
            <w:tcW w:w="1266" w:type="dxa"/>
            <w:vMerge/>
            <w:tcBorders>
              <w:left w:val="single" w:sz="8" w:space="0" w:color="auto"/>
              <w:right w:val="single" w:sz="4" w:space="0" w:color="000000"/>
            </w:tcBorders>
            <w:vAlign w:val="center"/>
            <w:hideMark/>
          </w:tcPr>
          <w:p>
            <w:pPr>
              <w:spacing w:line="240" w:lineRule="auto"/>
              <w:rPr>
                <w:rFonts w:ascii="Calibri" w:hAnsi="Calibri" w:cs="Calibri"/>
                <w:color w:val="000000"/>
                <w:szCs w:val="22"/>
              </w:rPr>
            </w:pPr>
          </w:p>
        </w:tc>
        <w:tc>
          <w:tcPr>
            <w:tcW w:w="1985" w:type="dxa"/>
            <w:tcBorders>
              <w:top w:val="nil"/>
              <w:left w:val="nil"/>
              <w:bottom w:val="single" w:sz="8" w:space="0" w:color="auto"/>
              <w:right w:val="single" w:sz="4" w:space="0" w:color="000000"/>
            </w:tcBorders>
            <w:shd w:val="clear" w:color="auto" w:fill="auto"/>
            <w:vAlign w:val="center"/>
            <w:hideMark/>
          </w:tcPr>
          <w:p>
            <w:pPr>
              <w:spacing w:line="240" w:lineRule="auto"/>
              <w:rPr>
                <w:rFonts w:ascii="Calibri" w:hAnsi="Calibri" w:cs="Calibri"/>
                <w:color w:val="000000"/>
                <w:szCs w:val="22"/>
              </w:rPr>
            </w:pPr>
            <w:r>
              <w:rPr>
                <w:rFonts w:ascii="Calibri" w:hAnsi="Calibri" w:cs="Calibri"/>
                <w:color w:val="000000"/>
                <w:szCs w:val="22"/>
              </w:rPr>
              <w:t xml:space="preserve">Plausibilität der </w:t>
            </w:r>
          </w:p>
          <w:p>
            <w:pPr>
              <w:spacing w:line="240" w:lineRule="auto"/>
              <w:rPr>
                <w:rFonts w:ascii="Calibri" w:hAnsi="Calibri" w:cs="Calibri"/>
                <w:color w:val="000000"/>
                <w:szCs w:val="22"/>
              </w:rPr>
            </w:pPr>
            <w:bookmarkStart w:id="6" w:name="_GoBack"/>
            <w:bookmarkEnd w:id="6"/>
            <w:r>
              <w:rPr>
                <w:rFonts w:ascii="Calibri" w:hAnsi="Calibri" w:cs="Calibri"/>
                <w:color w:val="000000"/>
                <w:szCs w:val="22"/>
              </w:rPr>
              <w:t>Kostenkalkulation</w:t>
            </w:r>
            <w:r>
              <w:rPr>
                <w:rFonts w:ascii="Calibri" w:hAnsi="Calibri" w:cs="Calibri"/>
                <w:color w:val="000000"/>
                <w:szCs w:val="22"/>
              </w:rPr>
              <w:br/>
              <w:t>(20 %)</w:t>
            </w:r>
          </w:p>
        </w:tc>
        <w:tc>
          <w:tcPr>
            <w:tcW w:w="3260" w:type="dxa"/>
            <w:tcBorders>
              <w:top w:val="nil"/>
              <w:left w:val="nil"/>
              <w:bottom w:val="single" w:sz="8" w:space="0" w:color="auto"/>
              <w:right w:val="single" w:sz="4" w:space="0" w:color="000000"/>
            </w:tcBorders>
            <w:shd w:val="clear" w:color="auto" w:fill="auto"/>
            <w:vAlign w:val="center"/>
            <w:hideMark/>
          </w:tcPr>
          <w:p>
            <w:pPr>
              <w:spacing w:line="240" w:lineRule="auto"/>
              <w:rPr>
                <w:rFonts w:ascii="Calibri" w:hAnsi="Calibri" w:cs="Calibri"/>
                <w:color w:val="000000"/>
                <w:szCs w:val="22"/>
              </w:rPr>
            </w:pPr>
            <w:r>
              <w:rPr>
                <w:rFonts w:ascii="Calibri" w:hAnsi="Calibri" w:cs="Calibri"/>
                <w:color w:val="000000"/>
                <w:szCs w:val="22"/>
              </w:rPr>
              <w:t>0 = fehlerhaft, nicht nachvollziehbar</w:t>
            </w:r>
            <w:r>
              <w:rPr>
                <w:rFonts w:ascii="Calibri" w:hAnsi="Calibri" w:cs="Calibri"/>
                <w:color w:val="000000"/>
                <w:szCs w:val="22"/>
              </w:rPr>
              <w:br/>
              <w:t>1 = fehlerhaft, nur in Ansätzen nachvollziehbar</w:t>
            </w:r>
            <w:r>
              <w:rPr>
                <w:rFonts w:ascii="Calibri" w:hAnsi="Calibri" w:cs="Calibri"/>
                <w:color w:val="000000"/>
                <w:szCs w:val="22"/>
              </w:rPr>
              <w:br/>
              <w:t>2 = fehlerhaft, überwiegend schlüssig und nachvollziehbar</w:t>
            </w:r>
            <w:r>
              <w:rPr>
                <w:rFonts w:ascii="Calibri" w:hAnsi="Calibri" w:cs="Calibri"/>
                <w:color w:val="000000"/>
                <w:szCs w:val="22"/>
              </w:rPr>
              <w:br/>
              <w:t>3 = fehlerfrei, überwiegend schlüssig und nachvollziehbar</w:t>
            </w:r>
            <w:r>
              <w:rPr>
                <w:rFonts w:ascii="Calibri" w:hAnsi="Calibri" w:cs="Calibri"/>
                <w:color w:val="000000"/>
                <w:szCs w:val="22"/>
              </w:rPr>
              <w:br/>
              <w:t>4 = fehlerfrei, klar, schlüssig und nachvollziehbar</w:t>
            </w:r>
          </w:p>
        </w:tc>
        <w:tc>
          <w:tcPr>
            <w:tcW w:w="992" w:type="dxa"/>
            <w:tcBorders>
              <w:top w:val="nil"/>
              <w:left w:val="nil"/>
              <w:bottom w:val="single" w:sz="8" w:space="0" w:color="auto"/>
              <w:right w:val="single" w:sz="4" w:space="0" w:color="000000"/>
            </w:tcBorders>
            <w:shd w:val="clear" w:color="auto" w:fill="auto"/>
            <w:noWrap/>
            <w:vAlign w:val="center"/>
            <w:hideMark/>
          </w:tcPr>
          <w:p>
            <w:pPr>
              <w:spacing w:line="240" w:lineRule="auto"/>
              <w:rPr>
                <w:rFonts w:ascii="Calibri" w:hAnsi="Calibri" w:cs="Calibri"/>
                <w:color w:val="000000"/>
                <w:szCs w:val="22"/>
              </w:rPr>
            </w:pPr>
            <w:r>
              <w:rPr>
                <w:rFonts w:ascii="Calibri" w:hAnsi="Calibri" w:cs="Calibri"/>
                <w:color w:val="000000"/>
                <w:szCs w:val="22"/>
              </w:rPr>
              <w:t>200</w:t>
            </w:r>
          </w:p>
        </w:tc>
        <w:tc>
          <w:tcPr>
            <w:tcW w:w="1559" w:type="dxa"/>
            <w:tcBorders>
              <w:top w:val="nil"/>
              <w:left w:val="nil"/>
              <w:bottom w:val="single" w:sz="8" w:space="0" w:color="auto"/>
              <w:right w:val="single" w:sz="4" w:space="0" w:color="000000"/>
            </w:tcBorders>
            <w:shd w:val="clear" w:color="auto" w:fill="auto"/>
            <w:vAlign w:val="center"/>
            <w:hideMark/>
          </w:tcPr>
          <w:p>
            <w:pPr>
              <w:spacing w:line="240" w:lineRule="auto"/>
              <w:rPr>
                <w:rFonts w:ascii="Calibri" w:hAnsi="Calibri" w:cs="Calibri"/>
                <w:color w:val="000000"/>
                <w:szCs w:val="22"/>
              </w:rPr>
            </w:pPr>
            <w:r>
              <w:rPr>
                <w:rFonts w:ascii="Calibri" w:hAnsi="Calibri" w:cs="Calibri"/>
                <w:color w:val="000000"/>
                <w:szCs w:val="22"/>
              </w:rPr>
              <w:t>min.: 0 * 200 = 0</w:t>
            </w:r>
            <w:r>
              <w:rPr>
                <w:rFonts w:ascii="Calibri" w:hAnsi="Calibri" w:cs="Calibri"/>
                <w:color w:val="000000"/>
                <w:szCs w:val="22"/>
              </w:rPr>
              <w:br/>
              <w:t>max.: 4 * 200 = 800</w:t>
            </w:r>
          </w:p>
        </w:tc>
      </w:tr>
      <w:tr>
        <w:trPr>
          <w:trHeight w:val="1452"/>
        </w:trPr>
        <w:tc>
          <w:tcPr>
            <w:tcW w:w="1266" w:type="dxa"/>
            <w:vMerge/>
            <w:tcBorders>
              <w:left w:val="single" w:sz="8" w:space="0" w:color="auto"/>
              <w:bottom w:val="single" w:sz="8" w:space="0" w:color="000000"/>
              <w:right w:val="single" w:sz="4" w:space="0" w:color="000000"/>
            </w:tcBorders>
            <w:vAlign w:val="center"/>
          </w:tcPr>
          <w:p>
            <w:pPr>
              <w:spacing w:line="240" w:lineRule="auto"/>
              <w:rPr>
                <w:rFonts w:ascii="Calibri" w:hAnsi="Calibri" w:cs="Calibri"/>
                <w:color w:val="000000"/>
                <w:szCs w:val="22"/>
              </w:rPr>
            </w:pPr>
          </w:p>
        </w:tc>
        <w:tc>
          <w:tcPr>
            <w:tcW w:w="1985" w:type="dxa"/>
            <w:tcBorders>
              <w:top w:val="nil"/>
              <w:left w:val="nil"/>
              <w:bottom w:val="single" w:sz="8" w:space="0" w:color="auto"/>
              <w:right w:val="single" w:sz="4" w:space="0" w:color="000000"/>
            </w:tcBorders>
            <w:shd w:val="clear" w:color="auto" w:fill="auto"/>
            <w:vAlign w:val="center"/>
          </w:tcPr>
          <w:p>
            <w:pPr>
              <w:spacing w:line="240" w:lineRule="auto"/>
              <w:rPr>
                <w:rFonts w:ascii="Calibri" w:hAnsi="Calibri" w:cs="Calibri"/>
                <w:color w:val="000000"/>
                <w:szCs w:val="22"/>
              </w:rPr>
            </w:pPr>
            <w:r>
              <w:rPr>
                <w:rFonts w:ascii="Calibri" w:hAnsi="Calibri" w:cs="Calibri"/>
                <w:color w:val="000000"/>
                <w:szCs w:val="22"/>
              </w:rPr>
              <w:t>Fachliche Qualifikation/Erfahrung des laut Angebot mit der Auftragsdurchführung betrauten Personals</w:t>
            </w:r>
          </w:p>
          <w:p>
            <w:pPr>
              <w:spacing w:line="240" w:lineRule="auto"/>
              <w:rPr>
                <w:rFonts w:ascii="Calibri" w:hAnsi="Calibri" w:cs="Calibri"/>
                <w:color w:val="000000"/>
                <w:szCs w:val="22"/>
              </w:rPr>
            </w:pPr>
            <w:r>
              <w:rPr>
                <w:rFonts w:ascii="Calibri" w:hAnsi="Calibri" w:cs="Calibri"/>
                <w:color w:val="000000"/>
                <w:szCs w:val="22"/>
              </w:rPr>
              <w:t>(20 %)</w:t>
            </w:r>
          </w:p>
        </w:tc>
        <w:tc>
          <w:tcPr>
            <w:tcW w:w="3260" w:type="dxa"/>
            <w:tcBorders>
              <w:top w:val="nil"/>
              <w:left w:val="nil"/>
              <w:bottom w:val="single" w:sz="8" w:space="0" w:color="auto"/>
              <w:right w:val="single" w:sz="4" w:space="0" w:color="000000"/>
            </w:tcBorders>
            <w:shd w:val="clear" w:color="auto" w:fill="auto"/>
            <w:vAlign w:val="center"/>
          </w:tcPr>
          <w:p>
            <w:pPr>
              <w:spacing w:line="240" w:lineRule="auto"/>
              <w:rPr>
                <w:rFonts w:ascii="Calibri" w:hAnsi="Calibri" w:cs="Calibri"/>
                <w:color w:val="000000"/>
                <w:szCs w:val="22"/>
              </w:rPr>
            </w:pPr>
            <w:r>
              <w:rPr>
                <w:rFonts w:ascii="Calibri" w:hAnsi="Calibri" w:cs="Calibri"/>
                <w:color w:val="000000"/>
                <w:szCs w:val="22"/>
              </w:rPr>
              <w:t>0 = nicht angegeben bzw. keine fachliche Qualifikation/Erfahrung</w:t>
            </w:r>
          </w:p>
          <w:p>
            <w:pPr>
              <w:spacing w:line="240" w:lineRule="auto"/>
              <w:rPr>
                <w:rFonts w:ascii="Calibri" w:hAnsi="Calibri" w:cs="Calibri"/>
                <w:color w:val="000000"/>
                <w:szCs w:val="22"/>
              </w:rPr>
            </w:pPr>
            <w:r>
              <w:rPr>
                <w:rFonts w:ascii="Calibri" w:hAnsi="Calibri" w:cs="Calibri"/>
                <w:color w:val="000000"/>
                <w:szCs w:val="22"/>
              </w:rPr>
              <w:t>1 = nicht nachgewiesen bzw. wenig fachliche Qualifikation/Erfahrung</w:t>
            </w:r>
          </w:p>
          <w:p>
            <w:pPr>
              <w:spacing w:line="240" w:lineRule="auto"/>
              <w:rPr>
                <w:rFonts w:ascii="Calibri" w:hAnsi="Calibri" w:cs="Calibri"/>
                <w:color w:val="000000"/>
                <w:szCs w:val="22"/>
              </w:rPr>
            </w:pPr>
            <w:r>
              <w:rPr>
                <w:rFonts w:ascii="Calibri" w:hAnsi="Calibri" w:cs="Calibri"/>
                <w:color w:val="000000"/>
                <w:szCs w:val="22"/>
              </w:rPr>
              <w:t>2 = fachliche Qualifikation und Erfahrung vorhanden, ohne Nachweis</w:t>
            </w:r>
          </w:p>
          <w:p>
            <w:pPr>
              <w:spacing w:line="240" w:lineRule="auto"/>
              <w:rPr>
                <w:rFonts w:ascii="Calibri" w:hAnsi="Calibri" w:cs="Calibri"/>
                <w:color w:val="000000"/>
                <w:szCs w:val="22"/>
              </w:rPr>
            </w:pPr>
            <w:r>
              <w:rPr>
                <w:rFonts w:ascii="Calibri" w:hAnsi="Calibri" w:cs="Calibri"/>
                <w:color w:val="000000"/>
                <w:szCs w:val="22"/>
              </w:rPr>
              <w:t>3 = fachliche Qualifikation und Erfahrung vorhanden</w:t>
            </w:r>
          </w:p>
          <w:p>
            <w:pPr>
              <w:spacing w:line="240" w:lineRule="auto"/>
              <w:rPr>
                <w:rFonts w:ascii="Calibri" w:hAnsi="Calibri" w:cs="Calibri"/>
                <w:color w:val="000000"/>
                <w:szCs w:val="22"/>
              </w:rPr>
            </w:pPr>
            <w:r>
              <w:rPr>
                <w:rFonts w:ascii="Calibri" w:hAnsi="Calibri" w:cs="Calibri"/>
                <w:color w:val="000000"/>
                <w:szCs w:val="22"/>
              </w:rPr>
              <w:t>4 = fachliche Qualifikation und Erfahrung überdurchschnittlich/ besondere Eignung für die Auf-</w:t>
            </w:r>
            <w:proofErr w:type="spellStart"/>
            <w:r>
              <w:rPr>
                <w:rFonts w:ascii="Calibri" w:hAnsi="Calibri" w:cs="Calibri"/>
                <w:color w:val="000000"/>
                <w:szCs w:val="22"/>
              </w:rPr>
              <w:t>tragsausführung</w:t>
            </w:r>
            <w:proofErr w:type="spellEnd"/>
          </w:p>
        </w:tc>
        <w:tc>
          <w:tcPr>
            <w:tcW w:w="992" w:type="dxa"/>
            <w:tcBorders>
              <w:top w:val="nil"/>
              <w:left w:val="nil"/>
              <w:bottom w:val="single" w:sz="8" w:space="0" w:color="auto"/>
              <w:right w:val="single" w:sz="4" w:space="0" w:color="000000"/>
            </w:tcBorders>
            <w:shd w:val="clear" w:color="auto" w:fill="auto"/>
            <w:noWrap/>
            <w:vAlign w:val="center"/>
          </w:tcPr>
          <w:p>
            <w:pPr>
              <w:spacing w:line="240" w:lineRule="auto"/>
              <w:rPr>
                <w:rFonts w:ascii="Calibri" w:hAnsi="Calibri" w:cs="Calibri"/>
                <w:color w:val="000000"/>
                <w:szCs w:val="22"/>
              </w:rPr>
            </w:pPr>
            <w:r>
              <w:rPr>
                <w:rFonts w:ascii="Calibri" w:hAnsi="Calibri" w:cs="Calibri"/>
                <w:color w:val="000000"/>
                <w:szCs w:val="22"/>
              </w:rPr>
              <w:t>200</w:t>
            </w:r>
          </w:p>
        </w:tc>
        <w:tc>
          <w:tcPr>
            <w:tcW w:w="1559" w:type="dxa"/>
            <w:tcBorders>
              <w:top w:val="nil"/>
              <w:left w:val="nil"/>
              <w:bottom w:val="single" w:sz="8" w:space="0" w:color="auto"/>
              <w:right w:val="single" w:sz="4" w:space="0" w:color="000000"/>
            </w:tcBorders>
            <w:shd w:val="clear" w:color="auto" w:fill="auto"/>
            <w:vAlign w:val="center"/>
          </w:tcPr>
          <w:p>
            <w:pPr>
              <w:spacing w:line="240" w:lineRule="auto"/>
              <w:rPr>
                <w:rFonts w:ascii="Calibri" w:hAnsi="Calibri" w:cs="Calibri"/>
                <w:color w:val="000000"/>
                <w:szCs w:val="22"/>
              </w:rPr>
            </w:pPr>
            <w:r>
              <w:rPr>
                <w:rFonts w:ascii="Calibri" w:hAnsi="Calibri" w:cs="Calibri"/>
                <w:color w:val="000000"/>
                <w:szCs w:val="22"/>
              </w:rPr>
              <w:t>min.: 0 * 200 = 0</w:t>
            </w:r>
            <w:r>
              <w:rPr>
                <w:rFonts w:ascii="Calibri" w:hAnsi="Calibri" w:cs="Calibri"/>
                <w:color w:val="000000"/>
                <w:szCs w:val="22"/>
              </w:rPr>
              <w:br/>
              <w:t>max.: 4 * 200 = 800</w:t>
            </w:r>
          </w:p>
        </w:tc>
      </w:tr>
      <w:tr>
        <w:trPr>
          <w:trHeight w:val="1452"/>
        </w:trPr>
        <w:tc>
          <w:tcPr>
            <w:tcW w:w="1266" w:type="dxa"/>
            <w:tcBorders>
              <w:top w:val="nil"/>
              <w:left w:val="single" w:sz="8" w:space="0" w:color="auto"/>
              <w:bottom w:val="single" w:sz="8" w:space="0" w:color="auto"/>
              <w:right w:val="single" w:sz="4" w:space="0" w:color="000000"/>
            </w:tcBorders>
            <w:shd w:val="clear" w:color="auto" w:fill="auto"/>
            <w:noWrap/>
            <w:vAlign w:val="center"/>
            <w:hideMark/>
          </w:tcPr>
          <w:p>
            <w:pPr>
              <w:spacing w:line="240" w:lineRule="auto"/>
              <w:rPr>
                <w:rFonts w:ascii="Calibri" w:hAnsi="Calibri" w:cs="Calibri"/>
                <w:color w:val="000000"/>
                <w:szCs w:val="22"/>
              </w:rPr>
            </w:pPr>
            <w:r>
              <w:rPr>
                <w:rFonts w:ascii="Calibri" w:hAnsi="Calibri" w:cs="Calibri"/>
                <w:color w:val="000000"/>
                <w:szCs w:val="22"/>
              </w:rPr>
              <w:t>Umweltbezogene Kriterien</w:t>
            </w:r>
          </w:p>
        </w:tc>
        <w:tc>
          <w:tcPr>
            <w:tcW w:w="1985" w:type="dxa"/>
            <w:tcBorders>
              <w:top w:val="nil"/>
              <w:left w:val="nil"/>
              <w:bottom w:val="single" w:sz="8" w:space="0" w:color="auto"/>
              <w:right w:val="single" w:sz="4" w:space="0" w:color="000000"/>
            </w:tcBorders>
            <w:shd w:val="clear" w:color="auto" w:fill="auto"/>
            <w:vAlign w:val="center"/>
            <w:hideMark/>
          </w:tcPr>
          <w:p>
            <w:pPr>
              <w:spacing w:line="240" w:lineRule="auto"/>
              <w:rPr>
                <w:rFonts w:ascii="Calibri" w:hAnsi="Calibri" w:cs="Calibri"/>
                <w:color w:val="000000"/>
                <w:szCs w:val="22"/>
              </w:rPr>
            </w:pPr>
            <w:r>
              <w:rPr>
                <w:rFonts w:ascii="Calibri" w:hAnsi="Calibri" w:cs="Calibri"/>
                <w:color w:val="000000"/>
                <w:szCs w:val="22"/>
              </w:rPr>
              <w:t>Zertifizierung des Unternehmens</w:t>
            </w:r>
            <w:r>
              <w:rPr>
                <w:rFonts w:ascii="Calibri" w:hAnsi="Calibri" w:cs="Calibri"/>
                <w:color w:val="000000"/>
                <w:szCs w:val="22"/>
              </w:rPr>
              <w:br/>
              <w:t>(30 %)</w:t>
            </w:r>
          </w:p>
        </w:tc>
        <w:tc>
          <w:tcPr>
            <w:tcW w:w="3260" w:type="dxa"/>
            <w:tcBorders>
              <w:top w:val="nil"/>
              <w:left w:val="nil"/>
              <w:bottom w:val="single" w:sz="8" w:space="0" w:color="auto"/>
              <w:right w:val="single" w:sz="4" w:space="0" w:color="000000"/>
            </w:tcBorders>
            <w:shd w:val="clear" w:color="auto" w:fill="auto"/>
            <w:vAlign w:val="center"/>
            <w:hideMark/>
          </w:tcPr>
          <w:p>
            <w:pPr>
              <w:spacing w:line="240" w:lineRule="auto"/>
              <w:rPr>
                <w:rFonts w:ascii="Calibri" w:hAnsi="Calibri" w:cs="Calibri"/>
                <w:color w:val="000000"/>
                <w:szCs w:val="22"/>
              </w:rPr>
            </w:pPr>
            <w:r>
              <w:rPr>
                <w:rFonts w:ascii="Calibri" w:hAnsi="Calibri" w:cs="Calibri"/>
                <w:color w:val="000000"/>
                <w:szCs w:val="22"/>
              </w:rPr>
              <w:t>0 = kein relevantes Management des Unternehmens</w:t>
            </w:r>
            <w:r>
              <w:rPr>
                <w:rFonts w:ascii="Calibri" w:hAnsi="Calibri" w:cs="Calibri"/>
                <w:color w:val="000000"/>
                <w:szCs w:val="22"/>
              </w:rPr>
              <w:br/>
              <w:t>1 = vorhandenes Leitbild o.ä. des Unternehmens, ohne Nachweis</w:t>
            </w:r>
          </w:p>
          <w:p>
            <w:pPr>
              <w:spacing w:line="240" w:lineRule="auto"/>
              <w:rPr>
                <w:rFonts w:ascii="Calibri" w:hAnsi="Calibri" w:cs="Calibri"/>
                <w:color w:val="000000"/>
                <w:szCs w:val="22"/>
              </w:rPr>
            </w:pPr>
            <w:r>
              <w:rPr>
                <w:rFonts w:ascii="Calibri" w:hAnsi="Calibri" w:cs="Calibri"/>
                <w:color w:val="000000"/>
                <w:szCs w:val="22"/>
              </w:rPr>
              <w:t>2 = vorhandenes Leitbild o.ä. des Unternehmens, mit Nachweis</w:t>
            </w:r>
            <w:r>
              <w:rPr>
                <w:rFonts w:ascii="Calibri" w:hAnsi="Calibri" w:cs="Calibri"/>
                <w:color w:val="000000"/>
                <w:szCs w:val="22"/>
              </w:rPr>
              <w:br/>
              <w:t>3 = überzeugend dargelegtes Management des Unternehmens</w:t>
            </w:r>
            <w:r>
              <w:rPr>
                <w:rFonts w:ascii="Calibri" w:hAnsi="Calibri" w:cs="Calibri"/>
                <w:color w:val="000000"/>
                <w:szCs w:val="22"/>
              </w:rPr>
              <w:br/>
              <w:t>4 = zertifiziertes Management des Unternehmens</w:t>
            </w:r>
          </w:p>
        </w:tc>
        <w:tc>
          <w:tcPr>
            <w:tcW w:w="992" w:type="dxa"/>
            <w:tcBorders>
              <w:top w:val="nil"/>
              <w:left w:val="nil"/>
              <w:bottom w:val="single" w:sz="8" w:space="0" w:color="auto"/>
              <w:right w:val="single" w:sz="4" w:space="0" w:color="000000"/>
            </w:tcBorders>
            <w:shd w:val="clear" w:color="auto" w:fill="auto"/>
            <w:noWrap/>
            <w:vAlign w:val="center"/>
            <w:hideMark/>
          </w:tcPr>
          <w:p>
            <w:pPr>
              <w:spacing w:line="240" w:lineRule="auto"/>
              <w:rPr>
                <w:rFonts w:ascii="Calibri" w:hAnsi="Calibri" w:cs="Calibri"/>
                <w:color w:val="000000"/>
                <w:szCs w:val="22"/>
              </w:rPr>
            </w:pPr>
            <w:r>
              <w:rPr>
                <w:rFonts w:ascii="Calibri" w:hAnsi="Calibri" w:cs="Calibri"/>
                <w:color w:val="000000"/>
                <w:szCs w:val="22"/>
              </w:rPr>
              <w:t>300</w:t>
            </w:r>
          </w:p>
        </w:tc>
        <w:tc>
          <w:tcPr>
            <w:tcW w:w="1559" w:type="dxa"/>
            <w:tcBorders>
              <w:top w:val="nil"/>
              <w:left w:val="nil"/>
              <w:bottom w:val="single" w:sz="8" w:space="0" w:color="auto"/>
              <w:right w:val="single" w:sz="4" w:space="0" w:color="000000"/>
            </w:tcBorders>
            <w:shd w:val="clear" w:color="auto" w:fill="auto"/>
            <w:vAlign w:val="center"/>
            <w:hideMark/>
          </w:tcPr>
          <w:p>
            <w:pPr>
              <w:spacing w:line="240" w:lineRule="auto"/>
              <w:rPr>
                <w:rFonts w:ascii="Calibri" w:hAnsi="Calibri" w:cs="Calibri"/>
                <w:color w:val="000000"/>
                <w:szCs w:val="22"/>
              </w:rPr>
            </w:pPr>
            <w:r>
              <w:rPr>
                <w:rFonts w:ascii="Calibri" w:hAnsi="Calibri" w:cs="Calibri"/>
                <w:color w:val="000000"/>
                <w:szCs w:val="22"/>
              </w:rPr>
              <w:t>min.: 0 * 300 = 0</w:t>
            </w:r>
            <w:r>
              <w:rPr>
                <w:rFonts w:ascii="Calibri" w:hAnsi="Calibri" w:cs="Calibri"/>
                <w:color w:val="000000"/>
                <w:szCs w:val="22"/>
              </w:rPr>
              <w:br/>
              <w:t>max.: 4 * 300 = 1200</w:t>
            </w:r>
          </w:p>
        </w:tc>
      </w:tr>
    </w:tbl>
    <w:p>
      <w:pPr>
        <w:spacing w:line="240" w:lineRule="auto"/>
        <w:jc w:val="both"/>
        <w:rPr>
          <w:rFonts w:asciiTheme="minorHAnsi" w:hAnsiTheme="minorHAnsi" w:cstheme="minorHAnsi"/>
          <w:sz w:val="24"/>
        </w:rPr>
      </w:pPr>
    </w:p>
    <w:p>
      <w:pPr>
        <w:spacing w:line="240" w:lineRule="auto"/>
        <w:jc w:val="both"/>
        <w:rPr>
          <w:rFonts w:asciiTheme="minorHAnsi" w:hAnsiTheme="minorHAnsi" w:cstheme="minorHAnsi"/>
          <w:sz w:val="24"/>
        </w:rPr>
      </w:pPr>
      <w:r>
        <w:rPr>
          <w:rFonts w:asciiTheme="minorHAnsi" w:hAnsiTheme="minorHAnsi" w:cstheme="minorHAnsi"/>
          <w:sz w:val="24"/>
        </w:rPr>
        <w:t>Die Summe der (Teil-)Nutzwerte dividiert durch den Preis ergibt die Wirtschaftlichkeitskennziffer. Das Angebot mit der höchsten Wirtschaftlichkeitskennziffer erhält den Zuschlag.</w:t>
      </w:r>
    </w:p>
    <w:sectPr>
      <w:pgSz w:w="11906" w:h="16838"/>
      <w:pgMar w:top="1134" w:right="1418" w:bottom="709" w:left="1418" w:header="454"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2</w:t>
    </w:r>
    <w:r>
      <w:rPr>
        <w:rStyle w:val="Seitenzahl"/>
      </w:rPr>
      <w:fldChar w:fldCharType="end"/>
    </w:r>
  </w:p>
  <w:p>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Kopfzeile"/>
      <w:rPr>
        <w:rFonts w:asciiTheme="minorHAnsi" w:hAnsiTheme="minorHAnsi" w:cstheme="minorHAnsi"/>
        <w:sz w:val="18"/>
        <w:szCs w:val="18"/>
      </w:rPr>
    </w:pPr>
    <w:bookmarkStart w:id="0" w:name="_Hlk77924379"/>
    <w:bookmarkStart w:id="1" w:name="_Hlk77924380"/>
    <w:bookmarkStart w:id="2" w:name="_Hlk77924383"/>
    <w:bookmarkStart w:id="3" w:name="_Hlk77924384"/>
    <w:bookmarkStart w:id="4" w:name="_Hlk77929193"/>
    <w:bookmarkStart w:id="5" w:name="_Hlk77929194"/>
    <w:r>
      <w:rPr>
        <w:rFonts w:asciiTheme="minorHAnsi" w:hAnsiTheme="minorHAnsi" w:cstheme="minorHAnsi"/>
        <w:sz w:val="18"/>
        <w:szCs w:val="18"/>
      </w:rPr>
      <w:t>AZ: Vw-1611-52602-002/23-27</w:t>
    </w:r>
    <w:r>
      <w:rPr>
        <w:rFonts w:asciiTheme="minorHAnsi" w:hAnsiTheme="minorHAnsi" w:cstheme="minorHAnsi"/>
        <w:sz w:val="18"/>
        <w:szCs w:val="18"/>
      </w:rPr>
      <w:tab/>
    </w:r>
    <w:r>
      <w:rPr>
        <w:rFonts w:asciiTheme="minorHAnsi" w:hAnsiTheme="minorHAnsi" w:cstheme="minorHAnsi"/>
        <w:sz w:val="18"/>
        <w:szCs w:val="18"/>
      </w:rPr>
      <w:tab/>
    </w:r>
    <w:r>
      <w:rPr>
        <w:rFonts w:asciiTheme="minorHAnsi" w:hAnsiTheme="minorHAnsi" w:cstheme="minorHAnsi"/>
        <w:sz w:val="18"/>
        <w:szCs w:val="18"/>
      </w:rPr>
      <w:fldChar w:fldCharType="begin"/>
    </w:r>
    <w:r>
      <w:rPr>
        <w:rFonts w:asciiTheme="minorHAnsi" w:hAnsiTheme="minorHAnsi" w:cstheme="minorHAnsi"/>
        <w:sz w:val="18"/>
        <w:szCs w:val="18"/>
      </w:rPr>
      <w:instrText xml:space="preserve"> TIME \@ "dd.MM.yyyy" </w:instrText>
    </w:r>
    <w:r>
      <w:rPr>
        <w:rFonts w:asciiTheme="minorHAnsi" w:hAnsiTheme="minorHAnsi" w:cstheme="minorHAnsi"/>
        <w:sz w:val="18"/>
        <w:szCs w:val="18"/>
      </w:rPr>
      <w:fldChar w:fldCharType="separate"/>
    </w:r>
    <w:r>
      <w:rPr>
        <w:rFonts w:asciiTheme="minorHAnsi" w:hAnsiTheme="minorHAnsi" w:cstheme="minorHAnsi"/>
        <w:noProof/>
        <w:sz w:val="18"/>
        <w:szCs w:val="18"/>
      </w:rPr>
      <w:t>14.07.2023</w:t>
    </w:r>
    <w:r>
      <w:rPr>
        <w:rFonts w:asciiTheme="minorHAnsi" w:hAnsiTheme="minorHAnsi" w:cstheme="minorHAnsi"/>
        <w:sz w:val="18"/>
        <w:szCs w:val="18"/>
      </w:rPr>
      <w:fldChar w:fldCharType="end"/>
    </w:r>
    <w:bookmarkEnd w:id="0"/>
    <w:bookmarkEnd w:id="1"/>
    <w:bookmarkEnd w:id="2"/>
    <w:bookmarkEnd w:id="3"/>
    <w:bookmarkEnd w:id="4"/>
    <w:bookmarkEnd w:id="5"/>
  </w:p>
  <w:p>
    <w:pPr>
      <w:pStyle w:val="Kopfzeile"/>
      <w:rPr>
        <w:rFonts w:asciiTheme="minorHAnsi" w:hAnsiTheme="minorHAnsi" w:cstheme="minorHAns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B62356"/>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BCC6E35"/>
    <w:multiLevelType w:val="hybridMultilevel"/>
    <w:tmpl w:val="61D0C6D6"/>
    <w:lvl w:ilvl="0" w:tplc="5E2C2414">
      <w:start w:val="1"/>
      <w:numFmt w:val="bullet"/>
      <w:lvlText w:val="•"/>
      <w:lvlJc w:val="left"/>
      <w:pPr>
        <w:ind w:left="1080" w:hanging="360"/>
      </w:pPr>
      <w:rPr>
        <w:rFonts w:ascii="Calibri" w:eastAsia="Times New Roman" w:hAnsi="Calibri" w:cs="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 w15:restartNumberingAfterBreak="0">
    <w:nsid w:val="3F39207E"/>
    <w:multiLevelType w:val="hybridMultilevel"/>
    <w:tmpl w:val="69AED90A"/>
    <w:lvl w:ilvl="0" w:tplc="04070019">
      <w:start w:val="1"/>
      <w:numFmt w:val="lowerLetter"/>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3" w15:restartNumberingAfterBreak="0">
    <w:nsid w:val="461F57B0"/>
    <w:multiLevelType w:val="multilevel"/>
    <w:tmpl w:val="F29860D4"/>
    <w:lvl w:ilvl="0">
      <w:start w:val="1"/>
      <w:numFmt w:val="decimal"/>
      <w:pStyle w:val="berschrift1"/>
      <w:lvlText w:val="%1"/>
      <w:lvlJc w:val="left"/>
      <w:pPr>
        <w:tabs>
          <w:tab w:val="num" w:pos="567"/>
        </w:tabs>
        <w:ind w:left="567" w:hanging="567"/>
      </w:pPr>
      <w:rPr>
        <w:rFonts w:hint="default"/>
      </w:rPr>
    </w:lvl>
    <w:lvl w:ilvl="1">
      <w:start w:val="1"/>
      <w:numFmt w:val="decimal"/>
      <w:pStyle w:val="berschrift2"/>
      <w:lvlText w:val="%1.%2"/>
      <w:lvlJc w:val="left"/>
      <w:pPr>
        <w:tabs>
          <w:tab w:val="num" w:pos="576"/>
        </w:tabs>
        <w:ind w:left="576" w:hanging="576"/>
      </w:pPr>
      <w:rPr>
        <w:rFonts w:hint="default"/>
      </w:rPr>
    </w:lvl>
    <w:lvl w:ilvl="2">
      <w:start w:val="1"/>
      <w:numFmt w:val="decimal"/>
      <w:pStyle w:val="berschrift3"/>
      <w:lvlText w:val="%1.%2.%3"/>
      <w:lvlJc w:val="left"/>
      <w:pPr>
        <w:tabs>
          <w:tab w:val="num" w:pos="720"/>
        </w:tabs>
        <w:ind w:left="720" w:hanging="720"/>
      </w:pPr>
      <w:rPr>
        <w:rFonts w:hint="default"/>
      </w:rPr>
    </w:lvl>
    <w:lvl w:ilvl="3">
      <w:start w:val="1"/>
      <w:numFmt w:val="decimal"/>
      <w:pStyle w:val="berschrift4"/>
      <w:lvlText w:val="%1.%2.%3.%4"/>
      <w:lvlJc w:val="left"/>
      <w:pPr>
        <w:tabs>
          <w:tab w:val="num" w:pos="864"/>
        </w:tabs>
        <w:ind w:left="864" w:hanging="864"/>
      </w:pPr>
      <w:rPr>
        <w:rFonts w:hint="default"/>
      </w:rPr>
    </w:lvl>
    <w:lvl w:ilvl="4">
      <w:start w:val="1"/>
      <w:numFmt w:val="decimal"/>
      <w:pStyle w:val="berschrift5"/>
      <w:lvlText w:val="%1.%2.%3.%4.%5"/>
      <w:lvlJc w:val="left"/>
      <w:pPr>
        <w:tabs>
          <w:tab w:val="num" w:pos="1008"/>
        </w:tabs>
        <w:ind w:left="1008" w:hanging="1008"/>
      </w:pPr>
      <w:rPr>
        <w:rFonts w:hint="default"/>
      </w:rPr>
    </w:lvl>
    <w:lvl w:ilvl="5">
      <w:start w:val="1"/>
      <w:numFmt w:val="decimal"/>
      <w:pStyle w:val="berschrift6"/>
      <w:lvlText w:val="%1.%2.%3.%4.%5.%6"/>
      <w:lvlJc w:val="left"/>
      <w:pPr>
        <w:tabs>
          <w:tab w:val="num" w:pos="1152"/>
        </w:tabs>
        <w:ind w:left="1152" w:hanging="1152"/>
      </w:pPr>
      <w:rPr>
        <w:rFonts w:hint="default"/>
      </w:rPr>
    </w:lvl>
    <w:lvl w:ilvl="6">
      <w:start w:val="1"/>
      <w:numFmt w:val="decimal"/>
      <w:pStyle w:val="berschrift7"/>
      <w:lvlText w:val="%1.%2.%3.%4.%5.%6.%7"/>
      <w:lvlJc w:val="left"/>
      <w:pPr>
        <w:tabs>
          <w:tab w:val="num" w:pos="1296"/>
        </w:tabs>
        <w:ind w:left="1296" w:hanging="1296"/>
      </w:pPr>
      <w:rPr>
        <w:rFonts w:hint="default"/>
      </w:rPr>
    </w:lvl>
    <w:lvl w:ilvl="7">
      <w:start w:val="1"/>
      <w:numFmt w:val="decimal"/>
      <w:pStyle w:val="berschrift8"/>
      <w:lvlText w:val="%1.%2.%3.%4.%5.%6.%7.%8"/>
      <w:lvlJc w:val="left"/>
      <w:pPr>
        <w:tabs>
          <w:tab w:val="num" w:pos="1440"/>
        </w:tabs>
        <w:ind w:left="1440" w:hanging="1440"/>
      </w:pPr>
      <w:rPr>
        <w:rFonts w:hint="default"/>
      </w:rPr>
    </w:lvl>
    <w:lvl w:ilvl="8">
      <w:start w:val="1"/>
      <w:numFmt w:val="decimal"/>
      <w:pStyle w:val="berschrift9"/>
      <w:lvlText w:val="%1.%2.%3.%4.%5.%6.%7.%8.%9"/>
      <w:lvlJc w:val="left"/>
      <w:pPr>
        <w:tabs>
          <w:tab w:val="num" w:pos="1584"/>
        </w:tabs>
        <w:ind w:left="1584" w:hanging="1584"/>
      </w:pPr>
      <w:rPr>
        <w:rFonts w:hint="default"/>
      </w:rPr>
    </w:lvl>
  </w:abstractNum>
  <w:abstractNum w:abstractNumId="4" w15:restartNumberingAfterBreak="0">
    <w:nsid w:val="4A3C2933"/>
    <w:multiLevelType w:val="hybridMultilevel"/>
    <w:tmpl w:val="AD0E97D0"/>
    <w:lvl w:ilvl="0" w:tplc="9B3A8AF0">
      <w:numFmt w:val="bullet"/>
      <w:lvlText w:val="-"/>
      <w:lvlJc w:val="left"/>
      <w:pPr>
        <w:ind w:left="720" w:hanging="360"/>
      </w:pPr>
      <w:rPr>
        <w:rFonts w:ascii="Calibri" w:eastAsia="Calibri" w:hAnsi="Calibri"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E404353"/>
    <w:multiLevelType w:val="hybridMultilevel"/>
    <w:tmpl w:val="EE527D62"/>
    <w:lvl w:ilvl="0" w:tplc="A24CD71E">
      <w:start w:val="1"/>
      <w:numFmt w:val="lowerLetter"/>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55556CBF"/>
    <w:multiLevelType w:val="hybridMultilevel"/>
    <w:tmpl w:val="5CE656D2"/>
    <w:lvl w:ilvl="0" w:tplc="04070019">
      <w:start w:val="1"/>
      <w:numFmt w:val="lowerLetter"/>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7" w15:restartNumberingAfterBreak="0">
    <w:nsid w:val="650D7A40"/>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B920809"/>
    <w:multiLevelType w:val="hybridMultilevel"/>
    <w:tmpl w:val="DA3A7C0A"/>
    <w:lvl w:ilvl="0" w:tplc="0407000F">
      <w:start w:val="1"/>
      <w:numFmt w:val="decimal"/>
      <w:lvlText w:val="%1."/>
      <w:lvlJc w:val="left"/>
      <w:pPr>
        <w:tabs>
          <w:tab w:val="num" w:pos="360"/>
        </w:tabs>
        <w:ind w:left="360" w:hanging="360"/>
      </w:pPr>
    </w:lvl>
    <w:lvl w:ilvl="1" w:tplc="04070019">
      <w:start w:val="1"/>
      <w:numFmt w:val="lowerLetter"/>
      <w:lvlText w:val="%2."/>
      <w:lvlJc w:val="left"/>
      <w:pPr>
        <w:tabs>
          <w:tab w:val="num" w:pos="1080"/>
        </w:tabs>
        <w:ind w:left="1080" w:hanging="360"/>
      </w:pPr>
    </w:lvl>
    <w:lvl w:ilvl="2" w:tplc="0407000F">
      <w:start w:val="1"/>
      <w:numFmt w:val="decimal"/>
      <w:lvlText w:val="%3."/>
      <w:lvlJc w:val="left"/>
      <w:pPr>
        <w:tabs>
          <w:tab w:val="num" w:pos="1980"/>
        </w:tabs>
        <w:ind w:left="1980" w:hanging="36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9" w15:restartNumberingAfterBreak="0">
    <w:nsid w:val="76BA0EAA"/>
    <w:multiLevelType w:val="hybridMultilevel"/>
    <w:tmpl w:val="76D2E70C"/>
    <w:lvl w:ilvl="0" w:tplc="04070019">
      <w:start w:val="1"/>
      <w:numFmt w:val="lowerLetter"/>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0" w15:restartNumberingAfterBreak="0">
    <w:nsid w:val="77717A9E"/>
    <w:multiLevelType w:val="hybridMultilevel"/>
    <w:tmpl w:val="886E5B22"/>
    <w:lvl w:ilvl="0" w:tplc="0407000D">
      <w:start w:val="1"/>
      <w:numFmt w:val="bullet"/>
      <w:lvlText w:val=""/>
      <w:lvlJc w:val="left"/>
      <w:pPr>
        <w:ind w:left="1080" w:hanging="360"/>
      </w:pPr>
      <w:rPr>
        <w:rFonts w:ascii="Wingdings" w:hAnsi="Wingdings"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num w:numId="1">
    <w:abstractNumId w:val="3"/>
  </w:num>
  <w:num w:numId="2">
    <w:abstractNumId w:val="8"/>
  </w:num>
  <w:num w:numId="3">
    <w:abstractNumId w:val="10"/>
  </w:num>
  <w:num w:numId="4">
    <w:abstractNumId w:val="5"/>
  </w:num>
  <w:num w:numId="5">
    <w:abstractNumId w:val="1"/>
  </w:num>
  <w:num w:numId="6">
    <w:abstractNumId w:val="9"/>
  </w:num>
  <w:num w:numId="7">
    <w:abstractNumId w:val="2"/>
  </w:num>
  <w:num w:numId="8">
    <w:abstractNumId w:val="6"/>
  </w:num>
  <w:num w:numId="9">
    <w:abstractNumId w:val="0"/>
  </w:num>
  <w:num w:numId="10">
    <w:abstractNumId w:val="4"/>
  </w:num>
  <w:num w:numId="11">
    <w:abstractNumId w:val="7"/>
  </w:num>
  <w:num w:numId="12">
    <w:abstractNumId w:val="3"/>
  </w:num>
  <w:num w:numId="13">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autoHyphenation/>
  <w:hyphenationZone w:val="425"/>
  <w:characterSpacingControl w:val="doNotCompress"/>
  <w:hdrShapeDefaults>
    <o:shapedefaults v:ext="edit" spidmax="1064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6497"/>
    <o:shapelayout v:ext="edit">
      <o:idmap v:ext="edit" data="1"/>
    </o:shapelayout>
  </w:shapeDefaults>
  <w:decimalSymbol w:val=","/>
  <w:listSeparator w:val=";"/>
  <w15:docId w15:val="{4F0D9203-583D-4F5E-AD23-DD0FDEC4D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pPr>
      <w:spacing w:after="0" w:line="312" w:lineRule="auto"/>
    </w:pPr>
    <w:rPr>
      <w:rFonts w:ascii="Arial" w:eastAsia="Times New Roman" w:hAnsi="Arial" w:cs="Arial"/>
      <w:szCs w:val="24"/>
      <w:lang w:eastAsia="de-DE"/>
    </w:rPr>
  </w:style>
  <w:style w:type="paragraph" w:styleId="berschrift1">
    <w:name w:val="heading 1"/>
    <w:basedOn w:val="Standard"/>
    <w:next w:val="Standard"/>
    <w:link w:val="berschrift1Zchn"/>
    <w:qFormat/>
    <w:pPr>
      <w:keepNext/>
      <w:numPr>
        <w:numId w:val="1"/>
      </w:numPr>
      <w:spacing w:before="360" w:after="240"/>
      <w:outlineLvl w:val="0"/>
    </w:pPr>
    <w:rPr>
      <w:rFonts w:cs="Times New Roman"/>
      <w:b/>
      <w:iCs/>
      <w:sz w:val="28"/>
    </w:rPr>
  </w:style>
  <w:style w:type="paragraph" w:styleId="berschrift2">
    <w:name w:val="heading 2"/>
    <w:basedOn w:val="Standard"/>
    <w:next w:val="Standard"/>
    <w:link w:val="berschrift2Zchn"/>
    <w:qFormat/>
    <w:pPr>
      <w:keepNext/>
      <w:numPr>
        <w:ilvl w:val="1"/>
        <w:numId w:val="1"/>
      </w:numPr>
      <w:spacing w:before="240" w:after="120"/>
      <w:outlineLvl w:val="1"/>
    </w:pPr>
    <w:rPr>
      <w:b/>
      <w:bCs/>
      <w:iCs/>
      <w:szCs w:val="28"/>
    </w:rPr>
  </w:style>
  <w:style w:type="paragraph" w:styleId="berschrift3">
    <w:name w:val="heading 3"/>
    <w:basedOn w:val="Standard"/>
    <w:next w:val="Standard"/>
    <w:link w:val="berschrift3Zchn"/>
    <w:autoRedefine/>
    <w:qFormat/>
    <w:pPr>
      <w:keepNext/>
      <w:numPr>
        <w:ilvl w:val="2"/>
        <w:numId w:val="1"/>
      </w:numPr>
      <w:spacing w:before="240" w:after="60"/>
      <w:outlineLvl w:val="2"/>
    </w:pPr>
    <w:rPr>
      <w:bCs/>
      <w:szCs w:val="26"/>
    </w:rPr>
  </w:style>
  <w:style w:type="paragraph" w:styleId="berschrift4">
    <w:name w:val="heading 4"/>
    <w:basedOn w:val="Standard"/>
    <w:next w:val="Standard"/>
    <w:link w:val="berschrift4Zchn"/>
    <w:qFormat/>
    <w:pPr>
      <w:keepNext/>
      <w:numPr>
        <w:ilvl w:val="3"/>
        <w:numId w:val="1"/>
      </w:numPr>
      <w:spacing w:before="240" w:after="60"/>
      <w:outlineLvl w:val="3"/>
    </w:pPr>
    <w:rPr>
      <w:rFonts w:cs="Times New Roman"/>
      <w:bCs/>
      <w:szCs w:val="28"/>
    </w:rPr>
  </w:style>
  <w:style w:type="paragraph" w:styleId="berschrift5">
    <w:name w:val="heading 5"/>
    <w:basedOn w:val="Standard"/>
    <w:next w:val="Standard"/>
    <w:link w:val="berschrift5Zchn"/>
    <w:qFormat/>
    <w:pPr>
      <w:numPr>
        <w:ilvl w:val="4"/>
        <w:numId w:val="1"/>
      </w:numPr>
      <w:spacing w:before="240" w:after="60"/>
      <w:outlineLvl w:val="4"/>
    </w:pPr>
    <w:rPr>
      <w:rFonts w:cs="Times New Roman"/>
      <w:bCs/>
      <w:iCs/>
      <w:szCs w:val="26"/>
    </w:rPr>
  </w:style>
  <w:style w:type="paragraph" w:styleId="berschrift6">
    <w:name w:val="heading 6"/>
    <w:basedOn w:val="Standard"/>
    <w:next w:val="Standard"/>
    <w:link w:val="berschrift6Zchn"/>
    <w:qFormat/>
    <w:pPr>
      <w:numPr>
        <w:ilvl w:val="5"/>
        <w:numId w:val="1"/>
      </w:numPr>
      <w:spacing w:before="240" w:after="60"/>
      <w:outlineLvl w:val="5"/>
    </w:pPr>
    <w:rPr>
      <w:rFonts w:cs="Times New Roman"/>
      <w:b/>
      <w:bCs/>
      <w:szCs w:val="22"/>
    </w:rPr>
  </w:style>
  <w:style w:type="paragraph" w:styleId="berschrift7">
    <w:name w:val="heading 7"/>
    <w:basedOn w:val="Standard"/>
    <w:next w:val="Standard"/>
    <w:link w:val="berschrift7Zchn"/>
    <w:qFormat/>
    <w:pPr>
      <w:numPr>
        <w:ilvl w:val="6"/>
        <w:numId w:val="1"/>
      </w:numPr>
      <w:spacing w:before="240" w:after="60"/>
      <w:outlineLvl w:val="6"/>
    </w:pPr>
    <w:rPr>
      <w:rFonts w:cs="Times New Roman"/>
    </w:rPr>
  </w:style>
  <w:style w:type="paragraph" w:styleId="berschrift8">
    <w:name w:val="heading 8"/>
    <w:basedOn w:val="Standard"/>
    <w:next w:val="Standard"/>
    <w:link w:val="berschrift8Zchn"/>
    <w:qFormat/>
    <w:pPr>
      <w:numPr>
        <w:ilvl w:val="7"/>
        <w:numId w:val="1"/>
      </w:numPr>
      <w:spacing w:before="240" w:after="60"/>
      <w:outlineLvl w:val="7"/>
    </w:pPr>
    <w:rPr>
      <w:rFonts w:cs="Times New Roman"/>
      <w:i/>
      <w:iCs/>
    </w:rPr>
  </w:style>
  <w:style w:type="paragraph" w:styleId="berschrift9">
    <w:name w:val="heading 9"/>
    <w:basedOn w:val="Standard"/>
    <w:next w:val="Standard"/>
    <w:link w:val="berschrift9Zchn"/>
    <w:qFormat/>
    <w:pPr>
      <w:numPr>
        <w:ilvl w:val="8"/>
        <w:numId w:val="1"/>
      </w:numPr>
      <w:spacing w:before="240" w:after="60"/>
      <w:outlineLvl w:val="8"/>
    </w:pPr>
    <w:rPr>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Pr>
      <w:rFonts w:ascii="Arial" w:eastAsia="Times New Roman" w:hAnsi="Arial" w:cs="Times New Roman"/>
      <w:b/>
      <w:iCs/>
      <w:sz w:val="28"/>
      <w:szCs w:val="24"/>
      <w:lang w:eastAsia="de-DE"/>
    </w:rPr>
  </w:style>
  <w:style w:type="character" w:customStyle="1" w:styleId="berschrift2Zchn">
    <w:name w:val="Überschrift 2 Zchn"/>
    <w:basedOn w:val="Absatz-Standardschriftart"/>
    <w:link w:val="berschrift2"/>
    <w:rPr>
      <w:rFonts w:ascii="Arial" w:eastAsia="Times New Roman" w:hAnsi="Arial" w:cs="Arial"/>
      <w:b/>
      <w:bCs/>
      <w:iCs/>
      <w:sz w:val="24"/>
      <w:szCs w:val="28"/>
      <w:lang w:eastAsia="de-DE"/>
    </w:rPr>
  </w:style>
  <w:style w:type="character" w:customStyle="1" w:styleId="berschrift3Zchn">
    <w:name w:val="Überschrift 3 Zchn"/>
    <w:basedOn w:val="Absatz-Standardschriftart"/>
    <w:link w:val="berschrift3"/>
    <w:rPr>
      <w:rFonts w:ascii="Arial" w:eastAsia="Times New Roman" w:hAnsi="Arial" w:cs="Arial"/>
      <w:bCs/>
      <w:sz w:val="24"/>
      <w:szCs w:val="26"/>
      <w:lang w:eastAsia="de-DE"/>
    </w:rPr>
  </w:style>
  <w:style w:type="character" w:customStyle="1" w:styleId="berschrift4Zchn">
    <w:name w:val="Überschrift 4 Zchn"/>
    <w:basedOn w:val="Absatz-Standardschriftart"/>
    <w:link w:val="berschrift4"/>
    <w:rPr>
      <w:rFonts w:ascii="Arial" w:eastAsia="Times New Roman" w:hAnsi="Arial" w:cs="Times New Roman"/>
      <w:bCs/>
      <w:sz w:val="24"/>
      <w:szCs w:val="28"/>
      <w:lang w:eastAsia="de-DE"/>
    </w:rPr>
  </w:style>
  <w:style w:type="character" w:customStyle="1" w:styleId="berschrift5Zchn">
    <w:name w:val="Überschrift 5 Zchn"/>
    <w:basedOn w:val="Absatz-Standardschriftart"/>
    <w:link w:val="berschrift5"/>
    <w:rPr>
      <w:rFonts w:ascii="Arial" w:eastAsia="Times New Roman" w:hAnsi="Arial" w:cs="Times New Roman"/>
      <w:bCs/>
      <w:iCs/>
      <w:sz w:val="24"/>
      <w:szCs w:val="26"/>
      <w:lang w:eastAsia="de-DE"/>
    </w:rPr>
  </w:style>
  <w:style w:type="character" w:customStyle="1" w:styleId="berschrift6Zchn">
    <w:name w:val="Überschrift 6 Zchn"/>
    <w:basedOn w:val="Absatz-Standardschriftart"/>
    <w:link w:val="berschrift6"/>
    <w:rPr>
      <w:rFonts w:ascii="Arial" w:eastAsia="Times New Roman" w:hAnsi="Arial" w:cs="Times New Roman"/>
      <w:b/>
      <w:bCs/>
      <w:lang w:eastAsia="de-DE"/>
    </w:rPr>
  </w:style>
  <w:style w:type="character" w:customStyle="1" w:styleId="berschrift7Zchn">
    <w:name w:val="Überschrift 7 Zchn"/>
    <w:basedOn w:val="Absatz-Standardschriftart"/>
    <w:link w:val="berschrift7"/>
    <w:rPr>
      <w:rFonts w:ascii="Arial" w:eastAsia="Times New Roman" w:hAnsi="Arial" w:cs="Times New Roman"/>
      <w:sz w:val="24"/>
      <w:szCs w:val="24"/>
      <w:lang w:eastAsia="de-DE"/>
    </w:rPr>
  </w:style>
  <w:style w:type="character" w:customStyle="1" w:styleId="berschrift8Zchn">
    <w:name w:val="Überschrift 8 Zchn"/>
    <w:basedOn w:val="Absatz-Standardschriftart"/>
    <w:link w:val="berschrift8"/>
    <w:rPr>
      <w:rFonts w:ascii="Arial" w:eastAsia="Times New Roman" w:hAnsi="Arial" w:cs="Times New Roman"/>
      <w:i/>
      <w:iCs/>
      <w:sz w:val="24"/>
      <w:szCs w:val="24"/>
      <w:lang w:eastAsia="de-DE"/>
    </w:rPr>
  </w:style>
  <w:style w:type="character" w:customStyle="1" w:styleId="berschrift9Zchn">
    <w:name w:val="Überschrift 9 Zchn"/>
    <w:basedOn w:val="Absatz-Standardschriftart"/>
    <w:link w:val="berschrift9"/>
    <w:rPr>
      <w:rFonts w:ascii="Arial" w:eastAsia="Times New Roman" w:hAnsi="Arial" w:cs="Arial"/>
      <w:lang w:eastAsia="de-DE"/>
    </w:rPr>
  </w:style>
  <w:style w:type="paragraph" w:styleId="Textkrper">
    <w:name w:val="Body Text"/>
    <w:basedOn w:val="Standard"/>
    <w:link w:val="TextkrperZchn"/>
    <w:pPr>
      <w:ind w:left="567"/>
    </w:pPr>
    <w:rPr>
      <w:rFonts w:cs="Times New Roman"/>
    </w:rPr>
  </w:style>
  <w:style w:type="character" w:customStyle="1" w:styleId="TextkrperZchn">
    <w:name w:val="Textkörper Zchn"/>
    <w:basedOn w:val="Absatz-Standardschriftart"/>
    <w:link w:val="Textkrper"/>
    <w:rPr>
      <w:rFonts w:ascii="Arial" w:eastAsia="Times New Roman" w:hAnsi="Arial" w:cs="Times New Roman"/>
      <w:sz w:val="24"/>
      <w:szCs w:val="24"/>
      <w:lang w:eastAsia="de-DE"/>
    </w:rPr>
  </w:style>
  <w:style w:type="paragraph" w:styleId="Fuzeile">
    <w:name w:val="footer"/>
    <w:basedOn w:val="Standard"/>
    <w:link w:val="FuzeileZchn"/>
    <w:pPr>
      <w:tabs>
        <w:tab w:val="center" w:pos="4536"/>
        <w:tab w:val="right" w:pos="9072"/>
      </w:tabs>
    </w:pPr>
  </w:style>
  <w:style w:type="character" w:customStyle="1" w:styleId="FuzeileZchn">
    <w:name w:val="Fußzeile Zchn"/>
    <w:basedOn w:val="Absatz-Standardschriftart"/>
    <w:link w:val="Fuzeile"/>
    <w:rPr>
      <w:rFonts w:ascii="Arial" w:eastAsia="Times New Roman" w:hAnsi="Arial" w:cs="Arial"/>
      <w:sz w:val="24"/>
      <w:szCs w:val="24"/>
      <w:lang w:eastAsia="de-DE"/>
    </w:rPr>
  </w:style>
  <w:style w:type="character" w:styleId="Seitenzahl">
    <w:name w:val="page number"/>
    <w:basedOn w:val="Absatz-Standardschriftart"/>
  </w:style>
  <w:style w:type="character" w:styleId="Kommentarzeichen">
    <w:name w:val="annotation reference"/>
    <w:semiHidden/>
    <w:rPr>
      <w:sz w:val="16"/>
      <w:szCs w:val="16"/>
    </w:rPr>
  </w:style>
  <w:style w:type="paragraph" w:styleId="Kommentartext">
    <w:name w:val="annotation text"/>
    <w:basedOn w:val="Standard"/>
    <w:link w:val="KommentartextZchn"/>
    <w:semiHidden/>
    <w:rPr>
      <w:sz w:val="20"/>
      <w:szCs w:val="20"/>
    </w:rPr>
  </w:style>
  <w:style w:type="character" w:customStyle="1" w:styleId="KommentartextZchn">
    <w:name w:val="Kommentartext Zchn"/>
    <w:basedOn w:val="Absatz-Standardschriftart"/>
    <w:link w:val="Kommentartext"/>
    <w:semiHidden/>
    <w:rPr>
      <w:rFonts w:ascii="Arial" w:eastAsia="Times New Roman" w:hAnsi="Arial" w:cs="Arial"/>
      <w:sz w:val="20"/>
      <w:szCs w:val="20"/>
      <w:lang w:eastAsia="de-DE"/>
    </w:rPr>
  </w:style>
  <w:style w:type="paragraph" w:styleId="Sprechblasentext">
    <w:name w:val="Balloon Text"/>
    <w:basedOn w:val="Standard"/>
    <w:link w:val="SprechblasentextZchn"/>
    <w:uiPriority w:val="99"/>
    <w:semiHidden/>
    <w:unhideWhenUsed/>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Pr>
      <w:rFonts w:ascii="Tahoma" w:eastAsia="Times New Roman" w:hAnsi="Tahoma" w:cs="Tahoma"/>
      <w:sz w:val="16"/>
      <w:szCs w:val="16"/>
      <w:lang w:eastAsia="de-DE"/>
    </w:rPr>
  </w:style>
  <w:style w:type="paragraph" w:styleId="Kopfzeile">
    <w:name w:val="header"/>
    <w:basedOn w:val="Standard"/>
    <w:link w:val="KopfzeileZchn"/>
    <w:uiPriority w:val="99"/>
    <w:unhideWhenUsed/>
    <w:pPr>
      <w:tabs>
        <w:tab w:val="center" w:pos="4536"/>
        <w:tab w:val="right" w:pos="9072"/>
      </w:tabs>
    </w:pPr>
  </w:style>
  <w:style w:type="character" w:customStyle="1" w:styleId="KopfzeileZchn">
    <w:name w:val="Kopfzeile Zchn"/>
    <w:basedOn w:val="Absatz-Standardschriftart"/>
    <w:link w:val="Kopfzeile"/>
    <w:uiPriority w:val="99"/>
    <w:rPr>
      <w:rFonts w:ascii="Arial" w:eastAsia="Times New Roman" w:hAnsi="Arial" w:cs="Arial"/>
      <w:sz w:val="24"/>
      <w:szCs w:val="24"/>
      <w:lang w:eastAsia="de-DE"/>
    </w:rPr>
  </w:style>
  <w:style w:type="paragraph" w:styleId="Titel">
    <w:name w:val="Title"/>
    <w:basedOn w:val="Standard"/>
    <w:next w:val="Standard"/>
    <w:link w:val="TitelZchn"/>
    <w:uiPriority w:val="10"/>
    <w:qFormat/>
    <w:pPr>
      <w:spacing w:before="720" w:after="200" w:line="276" w:lineRule="auto"/>
    </w:pPr>
    <w:rPr>
      <w:rFonts w:asciiTheme="minorHAnsi" w:eastAsiaTheme="minorEastAsia" w:hAnsiTheme="minorHAnsi" w:cstheme="minorBidi"/>
      <w:caps/>
      <w:color w:val="4F81BD" w:themeColor="accent1"/>
      <w:spacing w:val="10"/>
      <w:kern w:val="28"/>
      <w:sz w:val="52"/>
      <w:szCs w:val="52"/>
    </w:rPr>
  </w:style>
  <w:style w:type="character" w:customStyle="1" w:styleId="TitelZchn">
    <w:name w:val="Titel Zchn"/>
    <w:basedOn w:val="Absatz-Standardschriftart"/>
    <w:link w:val="Titel"/>
    <w:uiPriority w:val="10"/>
    <w:rPr>
      <w:rFonts w:eastAsiaTheme="minorEastAsia"/>
      <w:caps/>
      <w:color w:val="4F81BD" w:themeColor="accent1"/>
      <w:spacing w:val="10"/>
      <w:kern w:val="28"/>
      <w:sz w:val="52"/>
      <w:szCs w:val="52"/>
      <w:lang w:eastAsia="de-DE"/>
    </w:rPr>
  </w:style>
  <w:style w:type="paragraph" w:styleId="Listenabsatz">
    <w:name w:val="List Paragraph"/>
    <w:basedOn w:val="Standard"/>
    <w:uiPriority w:val="34"/>
    <w:qFormat/>
    <w:pPr>
      <w:ind w:left="720"/>
      <w:contextualSpacing/>
    </w:pPr>
  </w:style>
  <w:style w:type="table" w:styleId="Tabellenraster">
    <w:name w:val="Table Grid"/>
    <w:basedOn w:val="NormaleTabelle"/>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mentarthema">
    <w:name w:val="annotation subject"/>
    <w:basedOn w:val="Kommentartext"/>
    <w:next w:val="Kommentartext"/>
    <w:link w:val="KommentarthemaZchn"/>
    <w:uiPriority w:val="99"/>
    <w:semiHidden/>
    <w:unhideWhenUsed/>
    <w:rPr>
      <w:b/>
      <w:bCs/>
    </w:rPr>
  </w:style>
  <w:style w:type="character" w:customStyle="1" w:styleId="KommentarthemaZchn">
    <w:name w:val="Kommentarthema Zchn"/>
    <w:basedOn w:val="KommentartextZchn"/>
    <w:link w:val="Kommentarthema"/>
    <w:uiPriority w:val="99"/>
    <w:semiHidden/>
    <w:rPr>
      <w:rFonts w:ascii="Arial" w:eastAsia="Times New Roman" w:hAnsi="Arial" w:cs="Arial"/>
      <w:b/>
      <w:bCs/>
      <w:sz w:val="20"/>
      <w:szCs w:val="20"/>
      <w:lang w:eastAsia="de-DE"/>
    </w:rPr>
  </w:style>
  <w:style w:type="paragraph" w:styleId="StandardWeb">
    <w:name w:val="Normal (Web)"/>
    <w:basedOn w:val="Standard"/>
    <w:pPr>
      <w:spacing w:before="100" w:beforeAutospacing="1" w:after="100" w:afterAutospacing="1"/>
      <w:jc w:val="both"/>
    </w:pPr>
    <w:rPr>
      <w:rFonts w:cs="Times New Roman"/>
    </w:rPr>
  </w:style>
  <w:style w:type="character" w:styleId="Hyperlink">
    <w:name w:val="Hyperlink"/>
    <w:basedOn w:val="Absatz-Standardschriftart"/>
    <w:uiPriority w:val="99"/>
    <w:unhideWhenUsed/>
    <w:rPr>
      <w:color w:val="0000FF" w:themeColor="hyperlink"/>
      <w:u w:val="single"/>
    </w:rPr>
  </w:style>
  <w:style w:type="character" w:styleId="NichtaufgelsteErwhnung">
    <w:name w:val="Unresolved Mention"/>
    <w:basedOn w:val="Absatz-Standardschriftart"/>
    <w:uiPriority w:val="99"/>
    <w:semiHidden/>
    <w:unhideWhenUsed/>
    <w:rPr>
      <w:color w:val="605E5C"/>
      <w:shd w:val="clear" w:color="auto" w:fill="E1DFDD"/>
    </w:rPr>
  </w:style>
  <w:style w:type="character" w:styleId="BesuchterLink">
    <w:name w:val="FollowedHyperlink"/>
    <w:basedOn w:val="Absatz-Standardschriftart"/>
    <w:uiPriority w:val="99"/>
    <w:semiHidden/>
    <w:unhideWhenUse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59325">
      <w:bodyDiv w:val="1"/>
      <w:marLeft w:val="0"/>
      <w:marRight w:val="0"/>
      <w:marTop w:val="0"/>
      <w:marBottom w:val="0"/>
      <w:divBdr>
        <w:top w:val="none" w:sz="0" w:space="0" w:color="auto"/>
        <w:left w:val="none" w:sz="0" w:space="0" w:color="auto"/>
        <w:bottom w:val="none" w:sz="0" w:space="0" w:color="auto"/>
        <w:right w:val="none" w:sz="0" w:space="0" w:color="auto"/>
      </w:divBdr>
    </w:div>
    <w:div w:id="205870854">
      <w:bodyDiv w:val="1"/>
      <w:marLeft w:val="0"/>
      <w:marRight w:val="0"/>
      <w:marTop w:val="0"/>
      <w:marBottom w:val="0"/>
      <w:divBdr>
        <w:top w:val="none" w:sz="0" w:space="0" w:color="auto"/>
        <w:left w:val="none" w:sz="0" w:space="0" w:color="auto"/>
        <w:bottom w:val="none" w:sz="0" w:space="0" w:color="auto"/>
        <w:right w:val="none" w:sz="0" w:space="0" w:color="auto"/>
      </w:divBdr>
    </w:div>
    <w:div w:id="228926357">
      <w:bodyDiv w:val="1"/>
      <w:marLeft w:val="0"/>
      <w:marRight w:val="0"/>
      <w:marTop w:val="0"/>
      <w:marBottom w:val="0"/>
      <w:divBdr>
        <w:top w:val="none" w:sz="0" w:space="0" w:color="auto"/>
        <w:left w:val="none" w:sz="0" w:space="0" w:color="auto"/>
        <w:bottom w:val="none" w:sz="0" w:space="0" w:color="auto"/>
        <w:right w:val="none" w:sz="0" w:space="0" w:color="auto"/>
      </w:divBdr>
    </w:div>
    <w:div w:id="477117983">
      <w:bodyDiv w:val="1"/>
      <w:marLeft w:val="0"/>
      <w:marRight w:val="0"/>
      <w:marTop w:val="0"/>
      <w:marBottom w:val="0"/>
      <w:divBdr>
        <w:top w:val="none" w:sz="0" w:space="0" w:color="auto"/>
        <w:left w:val="none" w:sz="0" w:space="0" w:color="auto"/>
        <w:bottom w:val="none" w:sz="0" w:space="0" w:color="auto"/>
        <w:right w:val="none" w:sz="0" w:space="0" w:color="auto"/>
      </w:divBdr>
    </w:div>
    <w:div w:id="644435068">
      <w:bodyDiv w:val="1"/>
      <w:marLeft w:val="0"/>
      <w:marRight w:val="0"/>
      <w:marTop w:val="0"/>
      <w:marBottom w:val="0"/>
      <w:divBdr>
        <w:top w:val="none" w:sz="0" w:space="0" w:color="auto"/>
        <w:left w:val="none" w:sz="0" w:space="0" w:color="auto"/>
        <w:bottom w:val="none" w:sz="0" w:space="0" w:color="auto"/>
        <w:right w:val="none" w:sz="0" w:space="0" w:color="auto"/>
      </w:divBdr>
    </w:div>
    <w:div w:id="652608295">
      <w:bodyDiv w:val="1"/>
      <w:marLeft w:val="0"/>
      <w:marRight w:val="0"/>
      <w:marTop w:val="0"/>
      <w:marBottom w:val="0"/>
      <w:divBdr>
        <w:top w:val="none" w:sz="0" w:space="0" w:color="auto"/>
        <w:left w:val="none" w:sz="0" w:space="0" w:color="auto"/>
        <w:bottom w:val="none" w:sz="0" w:space="0" w:color="auto"/>
        <w:right w:val="none" w:sz="0" w:space="0" w:color="auto"/>
      </w:divBdr>
    </w:div>
    <w:div w:id="842935789">
      <w:bodyDiv w:val="1"/>
      <w:marLeft w:val="0"/>
      <w:marRight w:val="0"/>
      <w:marTop w:val="0"/>
      <w:marBottom w:val="0"/>
      <w:divBdr>
        <w:top w:val="none" w:sz="0" w:space="0" w:color="auto"/>
        <w:left w:val="none" w:sz="0" w:space="0" w:color="auto"/>
        <w:bottom w:val="none" w:sz="0" w:space="0" w:color="auto"/>
        <w:right w:val="none" w:sz="0" w:space="0" w:color="auto"/>
      </w:divBdr>
    </w:div>
    <w:div w:id="1210722465">
      <w:bodyDiv w:val="1"/>
      <w:marLeft w:val="0"/>
      <w:marRight w:val="0"/>
      <w:marTop w:val="0"/>
      <w:marBottom w:val="0"/>
      <w:divBdr>
        <w:top w:val="none" w:sz="0" w:space="0" w:color="auto"/>
        <w:left w:val="none" w:sz="0" w:space="0" w:color="auto"/>
        <w:bottom w:val="none" w:sz="0" w:space="0" w:color="auto"/>
        <w:right w:val="none" w:sz="0" w:space="0" w:color="auto"/>
      </w:divBdr>
    </w:div>
    <w:div w:id="1289429426">
      <w:bodyDiv w:val="1"/>
      <w:marLeft w:val="0"/>
      <w:marRight w:val="0"/>
      <w:marTop w:val="0"/>
      <w:marBottom w:val="0"/>
      <w:divBdr>
        <w:top w:val="none" w:sz="0" w:space="0" w:color="auto"/>
        <w:left w:val="none" w:sz="0" w:space="0" w:color="auto"/>
        <w:bottom w:val="none" w:sz="0" w:space="0" w:color="auto"/>
        <w:right w:val="none" w:sz="0" w:space="0" w:color="auto"/>
      </w:divBdr>
      <w:divsChild>
        <w:div w:id="1587112431">
          <w:marLeft w:val="0"/>
          <w:marRight w:val="0"/>
          <w:marTop w:val="0"/>
          <w:marBottom w:val="0"/>
          <w:divBdr>
            <w:top w:val="none" w:sz="0" w:space="0" w:color="auto"/>
            <w:left w:val="none" w:sz="0" w:space="0" w:color="auto"/>
            <w:bottom w:val="none" w:sz="0" w:space="0" w:color="auto"/>
            <w:right w:val="none" w:sz="0" w:space="0" w:color="auto"/>
          </w:divBdr>
        </w:div>
        <w:div w:id="2039699934">
          <w:marLeft w:val="0"/>
          <w:marRight w:val="0"/>
          <w:marTop w:val="0"/>
          <w:marBottom w:val="0"/>
          <w:divBdr>
            <w:top w:val="none" w:sz="0" w:space="0" w:color="auto"/>
            <w:left w:val="none" w:sz="0" w:space="0" w:color="auto"/>
            <w:bottom w:val="none" w:sz="0" w:space="0" w:color="auto"/>
            <w:right w:val="none" w:sz="0" w:space="0" w:color="auto"/>
          </w:divBdr>
          <w:divsChild>
            <w:div w:id="649795343">
              <w:marLeft w:val="0"/>
              <w:marRight w:val="0"/>
              <w:marTop w:val="0"/>
              <w:marBottom w:val="0"/>
              <w:divBdr>
                <w:top w:val="none" w:sz="0" w:space="0" w:color="auto"/>
                <w:left w:val="none" w:sz="0" w:space="0" w:color="auto"/>
                <w:bottom w:val="none" w:sz="0" w:space="0" w:color="auto"/>
                <w:right w:val="none" w:sz="0" w:space="0" w:color="auto"/>
              </w:divBdr>
            </w:div>
            <w:div w:id="409231392">
              <w:marLeft w:val="0"/>
              <w:marRight w:val="0"/>
              <w:marTop w:val="0"/>
              <w:marBottom w:val="0"/>
              <w:divBdr>
                <w:top w:val="none" w:sz="0" w:space="0" w:color="auto"/>
                <w:left w:val="none" w:sz="0" w:space="0" w:color="auto"/>
                <w:bottom w:val="none" w:sz="0" w:space="0" w:color="auto"/>
                <w:right w:val="none" w:sz="0" w:space="0" w:color="auto"/>
              </w:divBdr>
            </w:div>
            <w:div w:id="125104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926959">
      <w:bodyDiv w:val="1"/>
      <w:marLeft w:val="0"/>
      <w:marRight w:val="0"/>
      <w:marTop w:val="0"/>
      <w:marBottom w:val="0"/>
      <w:divBdr>
        <w:top w:val="none" w:sz="0" w:space="0" w:color="auto"/>
        <w:left w:val="none" w:sz="0" w:space="0" w:color="auto"/>
        <w:bottom w:val="none" w:sz="0" w:space="0" w:color="auto"/>
        <w:right w:val="none" w:sz="0" w:space="0" w:color="auto"/>
      </w:divBdr>
      <w:divsChild>
        <w:div w:id="1320425255">
          <w:marLeft w:val="312"/>
          <w:marRight w:val="0"/>
          <w:marTop w:val="0"/>
          <w:marBottom w:val="0"/>
          <w:divBdr>
            <w:top w:val="none" w:sz="0" w:space="0" w:color="auto"/>
            <w:left w:val="none" w:sz="0" w:space="0" w:color="auto"/>
            <w:bottom w:val="none" w:sz="0" w:space="0" w:color="auto"/>
            <w:right w:val="none" w:sz="0" w:space="0" w:color="auto"/>
          </w:divBdr>
        </w:div>
        <w:div w:id="1164200606">
          <w:marLeft w:val="312"/>
          <w:marRight w:val="0"/>
          <w:marTop w:val="0"/>
          <w:marBottom w:val="0"/>
          <w:divBdr>
            <w:top w:val="none" w:sz="0" w:space="0" w:color="auto"/>
            <w:left w:val="none" w:sz="0" w:space="0" w:color="auto"/>
            <w:bottom w:val="none" w:sz="0" w:space="0" w:color="auto"/>
            <w:right w:val="none" w:sz="0" w:space="0" w:color="auto"/>
          </w:divBdr>
        </w:div>
        <w:div w:id="1080173483">
          <w:marLeft w:val="312"/>
          <w:marRight w:val="0"/>
          <w:marTop w:val="0"/>
          <w:marBottom w:val="0"/>
          <w:divBdr>
            <w:top w:val="none" w:sz="0" w:space="0" w:color="auto"/>
            <w:left w:val="none" w:sz="0" w:space="0" w:color="auto"/>
            <w:bottom w:val="none" w:sz="0" w:space="0" w:color="auto"/>
            <w:right w:val="none" w:sz="0" w:space="0" w:color="auto"/>
          </w:divBdr>
        </w:div>
      </w:divsChild>
    </w:div>
    <w:div w:id="1731028332">
      <w:bodyDiv w:val="1"/>
      <w:marLeft w:val="0"/>
      <w:marRight w:val="0"/>
      <w:marTop w:val="0"/>
      <w:marBottom w:val="0"/>
      <w:divBdr>
        <w:top w:val="none" w:sz="0" w:space="0" w:color="auto"/>
        <w:left w:val="none" w:sz="0" w:space="0" w:color="auto"/>
        <w:bottom w:val="none" w:sz="0" w:space="0" w:color="auto"/>
        <w:right w:val="none" w:sz="0" w:space="0" w:color="auto"/>
      </w:divBdr>
    </w:div>
    <w:div w:id="1760830926">
      <w:bodyDiv w:val="1"/>
      <w:marLeft w:val="0"/>
      <w:marRight w:val="0"/>
      <w:marTop w:val="0"/>
      <w:marBottom w:val="0"/>
      <w:divBdr>
        <w:top w:val="none" w:sz="0" w:space="0" w:color="auto"/>
        <w:left w:val="none" w:sz="0" w:space="0" w:color="auto"/>
        <w:bottom w:val="none" w:sz="0" w:space="0" w:color="auto"/>
        <w:right w:val="none" w:sz="0" w:space="0" w:color="auto"/>
      </w:divBdr>
    </w:div>
    <w:div w:id="1817139794">
      <w:bodyDiv w:val="1"/>
      <w:marLeft w:val="0"/>
      <w:marRight w:val="0"/>
      <w:marTop w:val="0"/>
      <w:marBottom w:val="0"/>
      <w:divBdr>
        <w:top w:val="none" w:sz="0" w:space="0" w:color="auto"/>
        <w:left w:val="none" w:sz="0" w:space="0" w:color="auto"/>
        <w:bottom w:val="none" w:sz="0" w:space="0" w:color="auto"/>
        <w:right w:val="none" w:sz="0" w:space="0" w:color="auto"/>
      </w:divBdr>
    </w:div>
    <w:div w:id="1954239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70ECB2-427C-4D52-9CBC-E90F85656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594</Words>
  <Characters>3744</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Bundesamt für Naturschutz</Company>
  <LinksUpToDate>false</LinksUpToDate>
  <CharactersWithSpaces>4330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Sandor Neels</dc:creator>
  <cp:lastModifiedBy>Eva Rahn</cp:lastModifiedBy>
  <cp:revision>21</cp:revision>
  <cp:lastPrinted>2023-06-21T10:54:00Z</cp:lastPrinted>
  <dcterms:created xsi:type="dcterms:W3CDTF">2023-02-27T13:08:00Z</dcterms:created>
  <dcterms:modified xsi:type="dcterms:W3CDTF">2023-07-14T08:26:00Z</dcterms:modified>
</cp:coreProperties>
</file>